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415" w:rsidRDefault="00151415" w:rsidP="00151415">
      <w:pPr>
        <w:pStyle w:val="ConsPlusCell"/>
        <w:jc w:val="right"/>
        <w:rPr>
          <w:sz w:val="24"/>
          <w:szCs w:val="24"/>
        </w:rPr>
      </w:pPr>
      <w:r>
        <w:rPr>
          <w:sz w:val="24"/>
          <w:szCs w:val="24"/>
        </w:rPr>
        <w:t xml:space="preserve">Приложение № 2 к постановлению </w:t>
      </w:r>
    </w:p>
    <w:p w:rsidR="00151415" w:rsidRDefault="00151415" w:rsidP="00151415">
      <w:pPr>
        <w:pStyle w:val="ConsPlusCell"/>
        <w:jc w:val="right"/>
        <w:rPr>
          <w:sz w:val="24"/>
          <w:szCs w:val="24"/>
        </w:rPr>
      </w:pPr>
      <w:r>
        <w:rPr>
          <w:sz w:val="24"/>
          <w:szCs w:val="24"/>
        </w:rPr>
        <w:t xml:space="preserve">Администрации Муромцевского </w:t>
      </w:r>
    </w:p>
    <w:p w:rsidR="00151415" w:rsidRDefault="00151415" w:rsidP="00151415">
      <w:pPr>
        <w:pStyle w:val="ConsPlusCell"/>
        <w:jc w:val="right"/>
        <w:rPr>
          <w:sz w:val="24"/>
          <w:szCs w:val="24"/>
        </w:rPr>
      </w:pPr>
      <w:r>
        <w:rPr>
          <w:sz w:val="24"/>
          <w:szCs w:val="24"/>
        </w:rPr>
        <w:t xml:space="preserve">муниципального района Омской области </w:t>
      </w:r>
    </w:p>
    <w:p w:rsidR="00151415" w:rsidRDefault="00151415" w:rsidP="00151415">
      <w:pPr>
        <w:pStyle w:val="ConsPlusCell"/>
        <w:jc w:val="right"/>
        <w:rPr>
          <w:sz w:val="24"/>
          <w:szCs w:val="24"/>
        </w:rPr>
      </w:pPr>
      <w:r>
        <w:rPr>
          <w:sz w:val="24"/>
          <w:szCs w:val="24"/>
        </w:rPr>
        <w:t>от 1</w:t>
      </w:r>
      <w:r w:rsidR="00B037CE">
        <w:rPr>
          <w:sz w:val="24"/>
          <w:szCs w:val="24"/>
        </w:rPr>
        <w:t>7</w:t>
      </w:r>
      <w:r>
        <w:rPr>
          <w:sz w:val="24"/>
          <w:szCs w:val="24"/>
        </w:rPr>
        <w:t xml:space="preserve">.01.2024 № </w:t>
      </w:r>
      <w:r w:rsidR="00B037CE">
        <w:rPr>
          <w:sz w:val="24"/>
          <w:szCs w:val="24"/>
        </w:rPr>
        <w:t>10</w:t>
      </w:r>
      <w:r>
        <w:rPr>
          <w:sz w:val="24"/>
          <w:szCs w:val="24"/>
        </w:rPr>
        <w:t>-п</w:t>
      </w:r>
    </w:p>
    <w:p w:rsidR="00C16238" w:rsidRDefault="00C16238" w:rsidP="00C16238">
      <w:pPr>
        <w:autoSpaceDE w:val="0"/>
        <w:autoSpaceDN w:val="0"/>
        <w:adjustRightInd w:val="0"/>
        <w:spacing w:after="0" w:line="240" w:lineRule="auto"/>
        <w:jc w:val="right"/>
        <w:outlineLvl w:val="0"/>
        <w:rPr>
          <w:rFonts w:ascii="Times New Roman" w:eastAsia="Calibri" w:hAnsi="Times New Roman"/>
          <w:sz w:val="24"/>
          <w:szCs w:val="24"/>
        </w:rPr>
      </w:pPr>
    </w:p>
    <w:p w:rsidR="00C16238" w:rsidRPr="00113F14" w:rsidRDefault="00C16238" w:rsidP="00C16238">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C16238" w:rsidRPr="00113F14" w:rsidRDefault="00C16238" w:rsidP="00C16238">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C16238" w:rsidRPr="00113F14" w:rsidRDefault="00C16238" w:rsidP="00C16238">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C16238" w:rsidRPr="00113F14" w:rsidRDefault="00C16238" w:rsidP="00C16238">
      <w:pPr>
        <w:pStyle w:val="ConsPlusNonformat"/>
        <w:jc w:val="center"/>
        <w:rPr>
          <w:rFonts w:ascii="Times New Roman" w:hAnsi="Times New Roman" w:cs="Times New Roman"/>
          <w:b/>
          <w:sz w:val="24"/>
          <w:szCs w:val="24"/>
        </w:rPr>
      </w:pPr>
    </w:p>
    <w:p w:rsidR="00C16238" w:rsidRPr="00113F14" w:rsidRDefault="00C16238" w:rsidP="00C16238">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C16238" w:rsidRPr="00113F14" w:rsidRDefault="00C16238" w:rsidP="00C16238">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C16238" w:rsidRPr="00113F14" w:rsidTr="002F09C5">
        <w:tc>
          <w:tcPr>
            <w:tcW w:w="4077" w:type="dxa"/>
            <w:vAlign w:val="center"/>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C16238" w:rsidRPr="00113F14" w:rsidRDefault="00C16238"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C16238" w:rsidRPr="00113F14" w:rsidTr="002F09C5">
        <w:tc>
          <w:tcPr>
            <w:tcW w:w="4077" w:type="dxa"/>
            <w:vAlign w:val="center"/>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C16238" w:rsidRPr="00113F14" w:rsidRDefault="00C16238" w:rsidP="002F09C5">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C16238" w:rsidRPr="00113F14" w:rsidTr="002F09C5">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C16238" w:rsidRPr="00113F14" w:rsidRDefault="00C16238" w:rsidP="002F09C5">
            <w:pPr>
              <w:pStyle w:val="ConsPlusCell"/>
              <w:jc w:val="both"/>
              <w:rPr>
                <w:sz w:val="24"/>
                <w:szCs w:val="24"/>
              </w:rPr>
            </w:pPr>
            <w:r w:rsidRPr="00113F14">
              <w:rPr>
                <w:sz w:val="24"/>
                <w:szCs w:val="24"/>
              </w:rPr>
              <w:t>Комитет образования</w:t>
            </w:r>
          </w:p>
        </w:tc>
      </w:tr>
      <w:tr w:rsidR="00C16238" w:rsidRPr="00113F14" w:rsidTr="002F09C5">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C16238" w:rsidRPr="00113F14" w:rsidRDefault="00C16238" w:rsidP="002F09C5">
            <w:pPr>
              <w:pStyle w:val="ConsPlusCell"/>
              <w:jc w:val="both"/>
              <w:rPr>
                <w:sz w:val="24"/>
                <w:szCs w:val="24"/>
              </w:rPr>
            </w:pPr>
            <w:r w:rsidRPr="00113F14">
              <w:rPr>
                <w:sz w:val="24"/>
                <w:szCs w:val="24"/>
              </w:rPr>
              <w:t>2022-2030</w:t>
            </w:r>
          </w:p>
          <w:p w:rsidR="00C16238" w:rsidRPr="00113F14" w:rsidRDefault="00C16238" w:rsidP="002F09C5">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C16238" w:rsidRPr="00113F14" w:rsidTr="002F09C5">
        <w:trPr>
          <w:trHeight w:val="401"/>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C16238" w:rsidRPr="00113F14" w:rsidTr="002F09C5">
        <w:trPr>
          <w:trHeight w:val="328"/>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C16238" w:rsidRPr="00113F14" w:rsidTr="002F09C5">
        <w:trPr>
          <w:trHeight w:val="647"/>
        </w:trPr>
        <w:tc>
          <w:tcPr>
            <w:tcW w:w="4077" w:type="dxa"/>
          </w:tcPr>
          <w:p w:rsidR="00C16238" w:rsidRPr="00113F14" w:rsidRDefault="00C16238" w:rsidP="002F09C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C16238" w:rsidRPr="00113F14" w:rsidTr="002F09C5">
        <w:trPr>
          <w:trHeight w:val="701"/>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sidR="00151415">
              <w:rPr>
                <w:rFonts w:ascii="Times New Roman" w:hAnsi="Times New Roman"/>
                <w:sz w:val="24"/>
                <w:szCs w:val="24"/>
              </w:rPr>
              <w:t xml:space="preserve">5 </w:t>
            </w:r>
            <w:r w:rsidR="00B037CE">
              <w:rPr>
                <w:rFonts w:ascii="Times New Roman" w:hAnsi="Times New Roman"/>
                <w:sz w:val="24"/>
                <w:szCs w:val="24"/>
              </w:rPr>
              <w:t>529 225 715,42</w:t>
            </w:r>
            <w:r w:rsidRPr="00113F14">
              <w:rPr>
                <w:rFonts w:ascii="Times New Roman" w:hAnsi="Times New Roman"/>
                <w:sz w:val="24"/>
                <w:szCs w:val="24"/>
              </w:rPr>
              <w:t xml:space="preserve">  рублей,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B037CE">
              <w:rPr>
                <w:rFonts w:ascii="Times New Roman" w:hAnsi="Times New Roman"/>
                <w:sz w:val="24"/>
                <w:szCs w:val="24"/>
              </w:rPr>
              <w:t>786 657 779,58</w:t>
            </w:r>
            <w:r w:rsidRPr="00113F14">
              <w:rPr>
                <w:rFonts w:ascii="Times New Roman" w:hAnsi="Times New Roman"/>
                <w:sz w:val="24"/>
                <w:szCs w:val="24"/>
              </w:rPr>
              <w:t xml:space="preserve"> рубл</w:t>
            </w:r>
            <w:r w:rsidR="00B037CE">
              <w:rPr>
                <w:rFonts w:ascii="Times New Roman" w:hAnsi="Times New Roman"/>
                <w:sz w:val="24"/>
                <w:szCs w:val="24"/>
              </w:rPr>
              <w:t>ей</w:t>
            </w:r>
            <w:r w:rsidRPr="00113F14">
              <w:rPr>
                <w:rFonts w:ascii="Times New Roman" w:hAnsi="Times New Roman"/>
                <w:sz w:val="24"/>
                <w:szCs w:val="24"/>
              </w:rPr>
              <w:t xml:space="preserve"> </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51415">
              <w:rPr>
                <w:rFonts w:ascii="Times New Roman" w:hAnsi="Times New Roman"/>
                <w:sz w:val="24"/>
                <w:szCs w:val="24"/>
              </w:rPr>
              <w:t>687 788 371,43</w:t>
            </w:r>
            <w:r w:rsidRPr="00113F14">
              <w:rPr>
                <w:rFonts w:ascii="Times New Roman" w:hAnsi="Times New Roman"/>
                <w:sz w:val="24"/>
                <w:szCs w:val="24"/>
              </w:rPr>
              <w:t xml:space="preserve"> рубл</w:t>
            </w:r>
            <w:r w:rsidR="00151415">
              <w:rPr>
                <w:rFonts w:ascii="Times New Roman" w:hAnsi="Times New Roman"/>
                <w:sz w:val="24"/>
                <w:szCs w:val="24"/>
              </w:rPr>
              <w:t>ь</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51415">
              <w:rPr>
                <w:rFonts w:ascii="Times New Roman" w:hAnsi="Times New Roman"/>
                <w:sz w:val="24"/>
                <w:szCs w:val="24"/>
              </w:rPr>
              <w:t>690 743 303,17</w:t>
            </w:r>
            <w:r w:rsidRPr="00113F14">
              <w:rPr>
                <w:rFonts w:ascii="Times New Roman" w:hAnsi="Times New Roman"/>
                <w:sz w:val="24"/>
                <w:szCs w:val="24"/>
              </w:rPr>
              <w:t xml:space="preserve"> рубл</w:t>
            </w:r>
            <w:r w:rsidR="00151415">
              <w:rPr>
                <w:rFonts w:ascii="Times New Roman" w:hAnsi="Times New Roman"/>
                <w:sz w:val="24"/>
                <w:szCs w:val="24"/>
              </w:rPr>
              <w:t>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151415">
              <w:rPr>
                <w:rFonts w:ascii="Times New Roman" w:hAnsi="Times New Roman"/>
                <w:sz w:val="24"/>
                <w:szCs w:val="24"/>
              </w:rPr>
              <w:t>558 487 869,57</w:t>
            </w:r>
            <w:r w:rsidRPr="00113F14">
              <w:rPr>
                <w:rFonts w:ascii="Times New Roman" w:hAnsi="Times New Roman"/>
                <w:sz w:val="24"/>
                <w:szCs w:val="24"/>
              </w:rPr>
              <w:t xml:space="preserve"> рубл</w:t>
            </w:r>
            <w:r w:rsidR="00151415">
              <w:rPr>
                <w:rFonts w:ascii="Times New Roman" w:hAnsi="Times New Roman"/>
                <w:sz w:val="24"/>
                <w:szCs w:val="24"/>
              </w:rPr>
              <w:t>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151415">
              <w:rPr>
                <w:rFonts w:ascii="Times New Roman" w:hAnsi="Times New Roman"/>
                <w:sz w:val="24"/>
                <w:szCs w:val="24"/>
              </w:rPr>
              <w:t>560 345 850,57</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151415">
              <w:rPr>
                <w:rFonts w:ascii="Times New Roman" w:hAnsi="Times New Roman"/>
                <w:sz w:val="24"/>
                <w:szCs w:val="24"/>
              </w:rPr>
              <w:t>560 345 850,57</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151415">
              <w:rPr>
                <w:rFonts w:ascii="Times New Roman" w:hAnsi="Times New Roman"/>
                <w:sz w:val="24"/>
                <w:szCs w:val="24"/>
              </w:rPr>
              <w:t>560 345 850,57</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B037CE">
              <w:rPr>
                <w:rFonts w:ascii="Times New Roman" w:hAnsi="Times New Roman"/>
                <w:sz w:val="24"/>
                <w:szCs w:val="24"/>
              </w:rPr>
              <w:t>959 242 386,24</w:t>
            </w:r>
            <w:r w:rsidRPr="00113F14">
              <w:rPr>
                <w:rFonts w:ascii="Times New Roman" w:hAnsi="Times New Roman"/>
                <w:sz w:val="24"/>
                <w:szCs w:val="24"/>
              </w:rPr>
              <w:t xml:space="preserve"> рубл</w:t>
            </w:r>
            <w:r w:rsidR="00B037CE">
              <w:rPr>
                <w:rFonts w:ascii="Times New Roman" w:hAnsi="Times New Roman"/>
                <w:sz w:val="24"/>
                <w:szCs w:val="24"/>
              </w:rPr>
              <w:t>ей</w:t>
            </w:r>
            <w:r w:rsidRPr="00113F14">
              <w:rPr>
                <w:rFonts w:ascii="Times New Roman" w:hAnsi="Times New Roman"/>
                <w:sz w:val="24"/>
                <w:szCs w:val="24"/>
              </w:rPr>
              <w:t>,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B037CE">
              <w:rPr>
                <w:rFonts w:ascii="Times New Roman" w:hAnsi="Times New Roman"/>
                <w:sz w:val="24"/>
                <w:szCs w:val="24"/>
              </w:rPr>
              <w:t>232 933 833,71</w:t>
            </w:r>
            <w:r w:rsidRPr="00113F14">
              <w:rPr>
                <w:rFonts w:ascii="Times New Roman" w:hAnsi="Times New Roman"/>
                <w:sz w:val="24"/>
                <w:szCs w:val="24"/>
              </w:rPr>
              <w:t xml:space="preserve"> рубл</w:t>
            </w:r>
            <w:r w:rsidR="00151415">
              <w:rPr>
                <w:rFonts w:ascii="Times New Roman" w:hAnsi="Times New Roman"/>
                <w:sz w:val="24"/>
                <w:szCs w:val="24"/>
              </w:rPr>
              <w:t>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151415">
              <w:rPr>
                <w:rFonts w:ascii="Times New Roman" w:hAnsi="Times New Roman"/>
                <w:sz w:val="24"/>
                <w:szCs w:val="24"/>
              </w:rPr>
              <w:t>133 161 512,71</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151415">
              <w:rPr>
                <w:rFonts w:ascii="Times New Roman" w:hAnsi="Times New Roman"/>
                <w:sz w:val="24"/>
                <w:szCs w:val="24"/>
              </w:rPr>
              <w:t>133 161 512,71</w:t>
            </w:r>
            <w:r w:rsidRPr="00113F14">
              <w:rPr>
                <w:rFonts w:ascii="Times New Roman" w:hAnsi="Times New Roman"/>
                <w:sz w:val="24"/>
                <w:szCs w:val="24"/>
              </w:rPr>
              <w:t xml:space="preserve"> рубл</w:t>
            </w:r>
            <w:r w:rsidR="00151415">
              <w:rPr>
                <w:rFonts w:ascii="Times New Roman" w:hAnsi="Times New Roman"/>
                <w:sz w:val="24"/>
                <w:szCs w:val="24"/>
              </w:rPr>
              <w:t>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151415">
              <w:rPr>
                <w:rFonts w:ascii="Times New Roman" w:hAnsi="Times New Roman"/>
                <w:sz w:val="24"/>
                <w:szCs w:val="24"/>
              </w:rPr>
              <w:t>99 290 960,50</w:t>
            </w:r>
            <w:r w:rsidRPr="00113F14">
              <w:rPr>
                <w:rFonts w:ascii="Times New Roman" w:hAnsi="Times New Roman"/>
                <w:sz w:val="24"/>
                <w:szCs w:val="24"/>
              </w:rPr>
              <w:t xml:space="preserve">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151415">
              <w:rPr>
                <w:rFonts w:ascii="Times New Roman" w:hAnsi="Times New Roman"/>
                <w:sz w:val="24"/>
                <w:szCs w:val="24"/>
              </w:rPr>
              <w:t>99 290 960,50</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151415">
              <w:rPr>
                <w:rFonts w:ascii="Times New Roman" w:hAnsi="Times New Roman"/>
                <w:sz w:val="24"/>
                <w:szCs w:val="24"/>
              </w:rPr>
              <w:t>99 290 960,50</w:t>
            </w:r>
            <w:r w:rsidR="00151415" w:rsidRPr="00113F14">
              <w:rPr>
                <w:rFonts w:ascii="Times New Roman" w:hAnsi="Times New Roman"/>
                <w:sz w:val="24"/>
                <w:szCs w:val="24"/>
              </w:rPr>
              <w:t xml:space="preserve"> </w:t>
            </w:r>
            <w:r w:rsidRPr="00113F14">
              <w:rPr>
                <w:rFonts w:ascii="Times New Roman" w:hAnsi="Times New Roman"/>
                <w:sz w:val="24"/>
                <w:szCs w:val="24"/>
              </w:rPr>
              <w:t>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sidR="00B037CE">
              <w:rPr>
                <w:rFonts w:ascii="Times New Roman" w:hAnsi="Times New Roman"/>
                <w:sz w:val="24"/>
                <w:szCs w:val="24"/>
              </w:rPr>
              <w:t>201 586 719,02</w:t>
            </w:r>
            <w:r w:rsidRPr="00113F14">
              <w:rPr>
                <w:rFonts w:ascii="Times New Roman" w:hAnsi="Times New Roman"/>
                <w:sz w:val="24"/>
                <w:szCs w:val="24"/>
              </w:rPr>
              <w:t xml:space="preserve"> рубл</w:t>
            </w:r>
            <w:r w:rsidR="00B037CE">
              <w:rPr>
                <w:rFonts w:ascii="Times New Roman" w:hAnsi="Times New Roman"/>
                <w:sz w:val="24"/>
                <w:szCs w:val="24"/>
              </w:rPr>
              <w:t>ей</w:t>
            </w:r>
            <w:r w:rsidRPr="00113F14">
              <w:rPr>
                <w:rFonts w:ascii="Times New Roman" w:hAnsi="Times New Roman"/>
                <w:sz w:val="24"/>
                <w:szCs w:val="24"/>
              </w:rPr>
              <w:t>, в том числе:</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B037CE">
              <w:rPr>
                <w:rFonts w:ascii="Times New Roman" w:hAnsi="Times New Roman"/>
                <w:sz w:val="24"/>
                <w:szCs w:val="24"/>
              </w:rPr>
              <w:t>422 484 288,38</w:t>
            </w:r>
            <w:r w:rsidRPr="00113F14">
              <w:rPr>
                <w:rFonts w:ascii="Times New Roman" w:hAnsi="Times New Roman"/>
                <w:sz w:val="24"/>
                <w:szCs w:val="24"/>
              </w:rPr>
              <w:t xml:space="preserve"> рубл</w:t>
            </w:r>
            <w:r w:rsidR="00B037CE">
              <w:rPr>
                <w:rFonts w:ascii="Times New Roman" w:hAnsi="Times New Roman"/>
                <w:sz w:val="24"/>
                <w:szCs w:val="24"/>
              </w:rPr>
              <w:t>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sidR="00B037CE">
              <w:rPr>
                <w:rFonts w:ascii="Times New Roman" w:hAnsi="Times New Roman"/>
                <w:sz w:val="24"/>
                <w:szCs w:val="24"/>
              </w:rPr>
              <w:t>368 396 610,16</w:t>
            </w:r>
            <w:r w:rsidRPr="00113F14">
              <w:rPr>
                <w:rFonts w:ascii="Times New Roman" w:hAnsi="Times New Roman"/>
                <w:sz w:val="24"/>
                <w:szCs w:val="24"/>
              </w:rPr>
              <w:t xml:space="preserve"> рубл</w:t>
            </w:r>
            <w:r w:rsidR="0025097F">
              <w:rPr>
                <w:rFonts w:ascii="Times New Roman" w:hAnsi="Times New Roman"/>
                <w:sz w:val="24"/>
                <w:szCs w:val="24"/>
              </w:rPr>
              <w:t>ей</w:t>
            </w:r>
            <w:r w:rsidRPr="00113F14">
              <w:rPr>
                <w:rFonts w:ascii="Times New Roman" w:hAnsi="Times New Roman"/>
                <w:sz w:val="24"/>
                <w:szCs w:val="24"/>
              </w:rPr>
              <w:t xml:space="preserve">, в том числе: </w:t>
            </w:r>
          </w:p>
          <w:p w:rsidR="00C16238" w:rsidRPr="00113F14" w:rsidRDefault="00C16238" w:rsidP="002F09C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C16238" w:rsidRPr="00113F14" w:rsidRDefault="00C16238" w:rsidP="002F09C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sidR="00B037CE">
              <w:rPr>
                <w:rFonts w:ascii="Times New Roman" w:hAnsi="Times New Roman"/>
                <w:sz w:val="24"/>
                <w:szCs w:val="24"/>
              </w:rPr>
              <w:t>131 239 657,49</w:t>
            </w:r>
            <w:r w:rsidRPr="00113F14">
              <w:rPr>
                <w:rFonts w:ascii="Times New Roman" w:hAnsi="Times New Roman"/>
                <w:sz w:val="24"/>
                <w:szCs w:val="24"/>
              </w:rPr>
              <w:t xml:space="preserve"> рублей </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C16238" w:rsidRPr="00113F14" w:rsidRDefault="00C16238" w:rsidP="002F09C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C16238" w:rsidRPr="00113F14" w:rsidRDefault="00C16238" w:rsidP="002F09C5">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C16238" w:rsidRPr="00113F14" w:rsidTr="002F09C5">
        <w:trPr>
          <w:trHeight w:val="840"/>
        </w:trPr>
        <w:tc>
          <w:tcPr>
            <w:tcW w:w="4077"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C16238" w:rsidRPr="00113F14" w:rsidRDefault="00C16238" w:rsidP="00C16238">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C16238" w:rsidRPr="00113F14" w:rsidRDefault="00C16238" w:rsidP="00C16238">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C16238" w:rsidRPr="00113F14" w:rsidRDefault="00C16238" w:rsidP="002F09C5">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C16238" w:rsidRPr="00113F14" w:rsidRDefault="00C16238" w:rsidP="00C16238">
      <w:pPr>
        <w:spacing w:after="0" w:line="240" w:lineRule="auto"/>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113F14">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C16238" w:rsidRPr="00B037CE"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w:t>
      </w:r>
      <w:r w:rsidRPr="00B037CE">
        <w:rPr>
          <w:rFonts w:ascii="Times New Roman" w:hAnsi="Times New Roman"/>
          <w:sz w:val="24"/>
          <w:szCs w:val="24"/>
        </w:rPr>
        <w:t xml:space="preserve">эффективности выполнения данных мероприятий используется целевой индикатор -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p>
    <w:p w:rsidR="00C16238" w:rsidRPr="00B037CE" w:rsidRDefault="00151415" w:rsidP="00C16238">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151415" w:rsidRPr="00B037CE" w:rsidRDefault="00151415" w:rsidP="0015141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151415" w:rsidRPr="00B037CE" w:rsidRDefault="00151415"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w:t>
      </w:r>
      <w:r w:rsidRPr="00113F14">
        <w:rPr>
          <w:rFonts w:ascii="Times New Roman" w:hAnsi="Times New Roman"/>
          <w:sz w:val="24"/>
          <w:szCs w:val="24"/>
        </w:rPr>
        <w:lastRenderedPageBreak/>
        <w:t>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и (или) материально-техническое оснащение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spellStart"/>
      <w:r w:rsidRPr="00113F14">
        <w:rPr>
          <w:rFonts w:ascii="Times New Roman" w:hAnsi="Times New Roman"/>
          <w:sz w:val="24"/>
          <w:szCs w:val="24"/>
        </w:rPr>
        <w:t>софинансирование</w:t>
      </w:r>
      <w:proofErr w:type="spellEnd"/>
      <w:r w:rsidRPr="00113F14">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C16238" w:rsidRPr="00B037CE"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25097F" w:rsidRPr="00B037CE" w:rsidRDefault="0025097F" w:rsidP="00C16238">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5097F" w:rsidRDefault="0025097F" w:rsidP="00C16238">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B037CE" w:rsidRPr="00B037CE" w:rsidRDefault="00B037CE" w:rsidP="00C16238">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w:t>
      </w:r>
    </w:p>
    <w:p w:rsidR="00B037CE" w:rsidRPr="00B037CE" w:rsidRDefault="00B037CE" w:rsidP="00C16238">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обучающихся по программам дополнительного образования </w:t>
      </w:r>
      <w:r w:rsidRPr="00113F14">
        <w:rPr>
          <w:rFonts w:ascii="Times New Roman" w:hAnsi="Times New Roman"/>
          <w:sz w:val="24"/>
          <w:szCs w:val="24"/>
        </w:rPr>
        <w:lastRenderedPageBreak/>
        <w:t>детей, от общего количества детей в возрасте от шести до восемнадцати лет, проживающих на территории Муромцевского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C16238" w:rsidRPr="00113F14" w:rsidRDefault="00C16238" w:rsidP="00C16238">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C16238" w:rsidRPr="00113F14" w:rsidRDefault="00C16238" w:rsidP="00C16238">
      <w:pPr>
        <w:autoSpaceDE w:val="0"/>
        <w:autoSpaceDN w:val="0"/>
        <w:adjustRightInd w:val="0"/>
        <w:spacing w:after="0" w:line="240" w:lineRule="auto"/>
        <w:ind w:firstLine="709"/>
        <w:jc w:val="center"/>
        <w:rPr>
          <w:rFonts w:ascii="Times New Roman" w:hAnsi="Times New Roman"/>
          <w:i/>
          <w:sz w:val="24"/>
          <w:szCs w:val="24"/>
        </w:rPr>
      </w:pPr>
    </w:p>
    <w:p w:rsidR="00B037CE" w:rsidRPr="00113F14" w:rsidRDefault="00B037CE" w:rsidP="00B037C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5 529 225 715,42</w:t>
      </w:r>
      <w:r w:rsidRPr="00113F14">
        <w:rPr>
          <w:rFonts w:ascii="Times New Roman" w:hAnsi="Times New Roman"/>
          <w:sz w:val="24"/>
          <w:szCs w:val="24"/>
        </w:rPr>
        <w:t xml:space="preserve">  рублей, в том числе:</w:t>
      </w:r>
    </w:p>
    <w:p w:rsidR="00B037CE" w:rsidRPr="00113F14" w:rsidRDefault="00B037CE" w:rsidP="00B037C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037CE" w:rsidRPr="00113F14" w:rsidRDefault="00B037CE" w:rsidP="00B037C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786 657 779,58</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037CE" w:rsidRPr="00113F14" w:rsidRDefault="00B037CE" w:rsidP="00B037C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959 242 386,24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037CE" w:rsidRPr="00113F14" w:rsidRDefault="00B037CE" w:rsidP="00B037C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037CE" w:rsidRPr="00113F14" w:rsidRDefault="00B037CE" w:rsidP="00B037C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232 933 833,71</w:t>
      </w:r>
      <w:r w:rsidRPr="00113F14">
        <w:rPr>
          <w:rFonts w:ascii="Times New Roman" w:hAnsi="Times New Roman"/>
          <w:sz w:val="24"/>
          <w:szCs w:val="24"/>
        </w:rPr>
        <w:t xml:space="preserve"> рубл</w:t>
      </w:r>
      <w:r>
        <w:rPr>
          <w:rFonts w:ascii="Times New Roman" w:hAnsi="Times New Roman"/>
          <w:sz w:val="24"/>
          <w:szCs w:val="24"/>
        </w:rPr>
        <w:t>я</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037CE" w:rsidRPr="00113F14" w:rsidRDefault="00B037CE" w:rsidP="00B037C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201 586 719,02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037CE" w:rsidRPr="00113F14" w:rsidRDefault="00B037CE" w:rsidP="00B037C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037CE" w:rsidRPr="00113F14" w:rsidRDefault="00B037CE" w:rsidP="00B037C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422 484 288,38</w:t>
      </w:r>
      <w:r w:rsidRPr="00113F14">
        <w:rPr>
          <w:rFonts w:ascii="Times New Roman" w:hAnsi="Times New Roman"/>
          <w:sz w:val="24"/>
          <w:szCs w:val="24"/>
        </w:rPr>
        <w:t xml:space="preserve"> рубл</w:t>
      </w:r>
      <w:r>
        <w:rPr>
          <w:rFonts w:ascii="Times New Roman" w:hAnsi="Times New Roman"/>
          <w:sz w:val="24"/>
          <w:szCs w:val="24"/>
        </w:rPr>
        <w:t>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037CE" w:rsidRPr="00113F14" w:rsidRDefault="00B037CE" w:rsidP="00B037CE">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368 396 610,16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037CE" w:rsidRPr="00113F14" w:rsidRDefault="00B037CE" w:rsidP="00B037CE">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037CE" w:rsidRPr="00113F14" w:rsidRDefault="00B037CE" w:rsidP="00B037CE">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131 239 657,49</w:t>
      </w:r>
      <w:r w:rsidRPr="00113F14">
        <w:rPr>
          <w:rFonts w:ascii="Times New Roman" w:hAnsi="Times New Roman"/>
          <w:sz w:val="24"/>
          <w:szCs w:val="24"/>
        </w:rPr>
        <w:t xml:space="preserve"> рублей </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037CE" w:rsidRPr="00113F14" w:rsidRDefault="00B037CE" w:rsidP="00B037CE">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2030 год – 150 734 114,87 рублей</w:t>
      </w:r>
    </w:p>
    <w:p w:rsidR="00C16238" w:rsidRPr="00113F14" w:rsidRDefault="0025097F" w:rsidP="0025097F">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C16238" w:rsidRPr="00113F14" w:rsidRDefault="00C16238" w:rsidP="00C16238">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C16238" w:rsidRPr="00113F14" w:rsidRDefault="00C16238" w:rsidP="00C16238">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C16238" w:rsidRPr="00113F14" w:rsidRDefault="00C16238" w:rsidP="00C16238">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C16238" w:rsidRPr="00113F14" w:rsidRDefault="00C16238" w:rsidP="00C16238">
      <w:pPr>
        <w:spacing w:after="0" w:line="240" w:lineRule="auto"/>
        <w:jc w:val="both"/>
        <w:rPr>
          <w:rFonts w:ascii="Times New Roman" w:hAnsi="Times New Roman"/>
          <w:sz w:val="24"/>
          <w:szCs w:val="24"/>
        </w:rPr>
      </w:pP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C16238" w:rsidRPr="00113F14" w:rsidRDefault="00C16238" w:rsidP="00C1623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C16238" w:rsidRPr="00113F14" w:rsidRDefault="00C16238" w:rsidP="00C16238">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C16238" w:rsidRPr="00113F14" w:rsidRDefault="00C16238" w:rsidP="00C16238">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C16238" w:rsidRPr="00113F14" w:rsidRDefault="00C16238" w:rsidP="00C16238">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16238" w:rsidRPr="00113F14" w:rsidRDefault="00C16238" w:rsidP="00C16238">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C16238" w:rsidRPr="00113F14" w:rsidRDefault="00C16238" w:rsidP="00C16238">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rsids>
    <w:rsidRoot w:val="00C16238"/>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415"/>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097F"/>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57BB3"/>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C4842"/>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7CE"/>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6C"/>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6238"/>
    <w:rsid w:val="00C17163"/>
    <w:rsid w:val="00C23D55"/>
    <w:rsid w:val="00C406A3"/>
    <w:rsid w:val="00C424B8"/>
    <w:rsid w:val="00C44ABD"/>
    <w:rsid w:val="00C506EF"/>
    <w:rsid w:val="00C52274"/>
    <w:rsid w:val="00C56B95"/>
    <w:rsid w:val="00C5715F"/>
    <w:rsid w:val="00C604FC"/>
    <w:rsid w:val="00C65317"/>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238"/>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C16238"/>
    <w:pPr>
      <w:autoSpaceDE w:val="0"/>
      <w:autoSpaceDN w:val="0"/>
      <w:adjustRightInd w:val="0"/>
    </w:pPr>
    <w:rPr>
      <w:rFonts w:ascii="Courier New" w:hAnsi="Courier New" w:cs="Courier New"/>
    </w:rPr>
  </w:style>
  <w:style w:type="paragraph" w:customStyle="1" w:styleId="ConsPlusCell">
    <w:name w:val="ConsPlusCell"/>
    <w:uiPriority w:val="99"/>
    <w:rsid w:val="00C16238"/>
    <w:pPr>
      <w:autoSpaceDE w:val="0"/>
      <w:autoSpaceDN w:val="0"/>
      <w:adjustRightInd w:val="0"/>
    </w:pPr>
    <w:rPr>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22</Pages>
  <Words>8226</Words>
  <Characters>46890</Characters>
  <Application>Microsoft Office Word</Application>
  <DocSecurity>0</DocSecurity>
  <Lines>390</Lines>
  <Paragraphs>110</Paragraphs>
  <ScaleCrop>false</ScaleCrop>
  <Company>Krokoz™</Company>
  <LinksUpToDate>false</LinksUpToDate>
  <CharactersWithSpaces>55006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2</cp:revision>
  <dcterms:created xsi:type="dcterms:W3CDTF">2024-01-18T05:59:00Z</dcterms:created>
  <dcterms:modified xsi:type="dcterms:W3CDTF">2024-01-18T05:59:00Z</dcterms:modified>
</cp:coreProperties>
</file>