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190D62">
        <w:rPr>
          <w:rFonts w:ascii="Times New Roman" w:hAnsi="Times New Roman"/>
          <w:sz w:val="24"/>
          <w:szCs w:val="24"/>
        </w:rPr>
        <w:t>1</w:t>
      </w:r>
      <w:r w:rsidR="00E80836">
        <w:rPr>
          <w:rFonts w:ascii="Times New Roman" w:hAnsi="Times New Roman"/>
          <w:sz w:val="24"/>
          <w:szCs w:val="24"/>
        </w:rPr>
        <w:t>4</w:t>
      </w:r>
      <w:r w:rsidR="00190D62">
        <w:rPr>
          <w:rFonts w:ascii="Times New Roman" w:hAnsi="Times New Roman"/>
          <w:sz w:val="24"/>
          <w:szCs w:val="24"/>
        </w:rPr>
        <w:t>.0</w:t>
      </w:r>
      <w:r w:rsidR="00E80836">
        <w:rPr>
          <w:rFonts w:ascii="Times New Roman" w:hAnsi="Times New Roman"/>
          <w:sz w:val="24"/>
          <w:szCs w:val="24"/>
        </w:rPr>
        <w:t>6</w:t>
      </w:r>
      <w:r w:rsidR="00A410E8">
        <w:rPr>
          <w:rFonts w:ascii="Times New Roman" w:hAnsi="Times New Roman"/>
          <w:sz w:val="24"/>
          <w:szCs w:val="24"/>
        </w:rPr>
        <w:t>.2024</w:t>
      </w:r>
      <w:r w:rsidRPr="00787838">
        <w:rPr>
          <w:rFonts w:ascii="Times New Roman" w:hAnsi="Times New Roman"/>
          <w:sz w:val="24"/>
          <w:szCs w:val="24"/>
        </w:rPr>
        <w:t xml:space="preserve"> года № </w:t>
      </w:r>
      <w:r w:rsidR="00E80836">
        <w:rPr>
          <w:rFonts w:ascii="Times New Roman" w:hAnsi="Times New Roman"/>
          <w:sz w:val="24"/>
          <w:szCs w:val="24"/>
        </w:rPr>
        <w:t>20</w:t>
      </w:r>
      <w:r w:rsidR="00190D62">
        <w:rPr>
          <w:rFonts w:ascii="Times New Roman" w:hAnsi="Times New Roman"/>
          <w:sz w:val="24"/>
          <w:szCs w:val="24"/>
        </w:rPr>
        <w:t>0</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Общий объем средств на финансирование муниципальной программы составляет 1 037 778 640,21 рублей, в том числе:</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166 293 592,04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171 502 967,18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184 731 321,31 рубль;</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120 604 613,32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122 201 405,20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67 978 685,29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67 868 685,29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2029 год – 68 118 685,29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68 478 685,29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местного бюджета на реализацию муниципальной программы составляет 642 848 272,50 рубля,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82 661 934,97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99 796 194,20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2024 год – 117 486 524,45 рубля;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2025 год – 88 969 672,66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90 363 988,14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40 759 989,52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40 649 989,52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2029 год – 40 899 989,52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41 259 989,52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371 574 275,35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60 373 009,03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71 706 700,66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67 244 444,04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31 634 471,48 рубль;</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31 740 867,06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27 218 695,77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lastRenderedPageBreak/>
              <w:t>2029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23 258 648,04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72,32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352,82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469,18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96 550,00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944DC4" w:rsidRDefault="000E348C" w:rsidP="00E80836">
            <w:pPr>
              <w:spacing w:after="0" w:line="240" w:lineRule="auto"/>
              <w:jc w:val="both"/>
              <w:rPr>
                <w:rFonts w:ascii="Times New Roman" w:hAnsi="Times New Roman"/>
                <w:sz w:val="24"/>
                <w:szCs w:val="24"/>
                <w:highlight w:val="yellow"/>
              </w:rPr>
            </w:pPr>
            <w:r w:rsidRPr="00E80836">
              <w:rPr>
                <w:rFonts w:ascii="Times New Roman" w:hAnsi="Times New Roman"/>
                <w:sz w:val="24"/>
                <w:szCs w:val="24"/>
              </w:rPr>
              <w:t>Источниками финансирования  муниципальной программы являются поступления налоговых</w:t>
            </w:r>
            <w:r w:rsidRPr="00944DC4">
              <w:rPr>
                <w:rFonts w:ascii="Times New Roman" w:hAnsi="Times New Roman"/>
                <w:sz w:val="24"/>
                <w:szCs w:val="24"/>
              </w:rPr>
              <w:t xml:space="preserve">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Общий объем средств на финансирование муниципальной программы составляет 1 037 778 640,21 рублей, в том числе:</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166 293 592,04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171 502 967,18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184 731 321,31 рубль;</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120 604 613,32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122 201 405,20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67 978 685,29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67 868 685,29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2029 год – 68 118 685,29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68 478 685,29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местного бюджета на реализацию муниципальной программы составляет 642 848 272,50 рубля,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82 661 934,97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99 796 194,20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2024 год – 117 486 524,45 рубля;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2025 год – 88 969 672,66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90 363 988,14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40 759 989,52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40 649 989,52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2029 год – 40 899 989,52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41 259 989,52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371 574 275,35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60 373 009,03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71 706 700,66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67 244 444,04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31 634 471,48 рубль;</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31 740 867,06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2027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2028 год – 27 218 695,77 рублей;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2029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2030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23 258 648,04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72,32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352,82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469,18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96 550,00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632D27">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 xml:space="preserve">129 </w:t>
            </w:r>
            <w:r w:rsidR="00632D27">
              <w:rPr>
                <w:rFonts w:ascii="Times New Roman" w:hAnsi="Times New Roman"/>
                <w:sz w:val="24"/>
                <w:szCs w:val="24"/>
              </w:rPr>
              <w:t>962 309,13</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25DDE" w:rsidRPr="00632D27">
              <w:rPr>
                <w:rFonts w:ascii="Times New Roman" w:hAnsi="Times New Roman"/>
                <w:sz w:val="24"/>
                <w:szCs w:val="24"/>
              </w:rPr>
              <w:t xml:space="preserve">505 </w:t>
            </w:r>
            <w:r w:rsidR="00632D27" w:rsidRPr="00632D27">
              <w:rPr>
                <w:rFonts w:ascii="Times New Roman" w:hAnsi="Times New Roman"/>
                <w:sz w:val="24"/>
                <w:szCs w:val="24"/>
              </w:rPr>
              <w:t>908 940,04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632D27">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 xml:space="preserve">307 </w:t>
            </w:r>
            <w:r w:rsidR="00632D27">
              <w:rPr>
                <w:rFonts w:ascii="Times New Roman" w:hAnsi="Times New Roman"/>
                <w:sz w:val="24"/>
                <w:szCs w:val="24"/>
              </w:rPr>
              <w:t>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sidR="00632D27">
              <w:rPr>
                <w:rFonts w:ascii="Times New Roman" w:hAnsi="Times New Roman"/>
                <w:sz w:val="24"/>
                <w:szCs w:val="24"/>
              </w:rPr>
              <w:t>407 406,48</w:t>
            </w:r>
            <w:r w:rsidRPr="00651DFA">
              <w:rPr>
                <w:rFonts w:ascii="Times New Roman" w:hAnsi="Times New Roman"/>
                <w:sz w:val="24"/>
                <w:szCs w:val="24"/>
              </w:rPr>
              <w:t xml:space="preserve"> рубл</w:t>
            </w:r>
            <w:r w:rsidR="00632D27">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E80836"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Хозяйственное обеспечение деятельности администрации </w:t>
      </w:r>
      <w:r w:rsidRPr="00E80836">
        <w:rPr>
          <w:rFonts w:ascii="Times New Roman" w:hAnsi="Times New Roman"/>
          <w:sz w:val="24"/>
          <w:szCs w:val="24"/>
        </w:rPr>
        <w:t>Муромцевского муниципального района.</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6. Субсидии социально-ориентированным некоммерческим организациям (прочие)</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E80836" w:rsidRDefault="00825DDE"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632D27" w:rsidRPr="00E80836" w:rsidRDefault="00632D27"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lastRenderedPageBreak/>
        <w:t>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632D27" w:rsidRPr="00651DFA" w:rsidRDefault="00632D27" w:rsidP="00632D27">
      <w:pPr>
        <w:spacing w:after="0"/>
        <w:jc w:val="both"/>
        <w:rPr>
          <w:rFonts w:ascii="Times New Roman" w:hAnsi="Times New Roman"/>
          <w:sz w:val="24"/>
          <w:szCs w:val="24"/>
        </w:rPr>
      </w:pPr>
      <w:r w:rsidRPr="00651DFA">
        <w:rPr>
          <w:rFonts w:ascii="Times New Roman" w:eastAsia="Calibri"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129 962 309,13</w:t>
      </w:r>
      <w:r w:rsidRPr="00651DFA">
        <w:rPr>
          <w:rFonts w:ascii="Times New Roman" w:hAnsi="Times New Roman"/>
          <w:sz w:val="24"/>
          <w:szCs w:val="24"/>
        </w:rPr>
        <w:t xml:space="preserve">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505 908 940,04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E80836" w:rsidRPr="003C124A" w:rsidRDefault="00E80836" w:rsidP="00E80836">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E80836" w:rsidRPr="003C124A" w:rsidRDefault="00E80836" w:rsidP="00E80836">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80836" w:rsidRPr="003C124A" w:rsidRDefault="00E80836" w:rsidP="00E80836">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80836" w:rsidRPr="003C124A" w:rsidRDefault="00E80836" w:rsidP="00E80836">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80836" w:rsidRPr="003C124A" w:rsidRDefault="00E80836" w:rsidP="00E80836">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80836" w:rsidRPr="003C124A" w:rsidRDefault="00E80836" w:rsidP="00E80836">
      <w:pPr>
        <w:autoSpaceDE w:val="0"/>
        <w:autoSpaceDN w:val="0"/>
        <w:adjustRightInd w:val="0"/>
        <w:spacing w:after="0"/>
        <w:jc w:val="right"/>
        <w:rPr>
          <w:rFonts w:ascii="Times New Roman" w:hAnsi="Times New Roman"/>
          <w:sz w:val="24"/>
          <w:szCs w:val="24"/>
        </w:rPr>
      </w:pPr>
    </w:p>
    <w:p w:rsidR="00E80836" w:rsidRPr="003C124A" w:rsidRDefault="00E80836" w:rsidP="00E80836">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E80836" w:rsidRPr="003C124A" w:rsidRDefault="00E80836" w:rsidP="00E80836">
      <w:pPr>
        <w:pStyle w:val="ConsPlusNonformat"/>
        <w:jc w:val="center"/>
        <w:rPr>
          <w:rFonts w:ascii="Times New Roman" w:hAnsi="Times New Roman" w:cs="Times New Roman"/>
          <w:sz w:val="24"/>
          <w:szCs w:val="24"/>
        </w:rPr>
      </w:pPr>
    </w:p>
    <w:p w:rsidR="00E80836" w:rsidRPr="003C124A" w:rsidRDefault="00E80836" w:rsidP="00E80836">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E80836" w:rsidRPr="003C124A" w:rsidRDefault="00E80836" w:rsidP="00E80836">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E80836" w:rsidRPr="003C124A" w:rsidTr="00E80836">
        <w:tc>
          <w:tcPr>
            <w:tcW w:w="5328" w:type="dxa"/>
            <w:vAlign w:val="center"/>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E80836" w:rsidRPr="003C124A" w:rsidRDefault="00E80836" w:rsidP="00E80836">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 xml:space="preserve">«Развитие экономического потенциала Муромцевского муниципального района Омской области» (далее – </w:t>
            </w:r>
            <w:r w:rsidRPr="003C124A">
              <w:rPr>
                <w:rFonts w:ascii="Times New Roman" w:hAnsi="Times New Roman" w:cs="Times New Roman"/>
                <w:sz w:val="24"/>
                <w:szCs w:val="24"/>
              </w:rPr>
              <w:lastRenderedPageBreak/>
              <w:t>муниципальная программа)</w:t>
            </w:r>
          </w:p>
        </w:tc>
      </w:tr>
      <w:tr w:rsidR="00E80836" w:rsidRPr="003C124A" w:rsidTr="00E80836">
        <w:tc>
          <w:tcPr>
            <w:tcW w:w="5328" w:type="dxa"/>
            <w:vAlign w:val="center"/>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подпрограммы муниципальной программы Муромцевского муниципального района </w:t>
            </w:r>
          </w:p>
        </w:tc>
        <w:tc>
          <w:tcPr>
            <w:tcW w:w="4500" w:type="dxa"/>
            <w:vAlign w:val="center"/>
          </w:tcPr>
          <w:p w:rsidR="00E80836" w:rsidRPr="003C124A" w:rsidRDefault="00E80836" w:rsidP="00E80836">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E80836" w:rsidRPr="003C124A" w:rsidTr="00E80836">
        <w:tc>
          <w:tcPr>
            <w:tcW w:w="5328"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E80836" w:rsidRPr="003C124A" w:rsidRDefault="00E80836" w:rsidP="00E80836">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E80836" w:rsidRPr="003C124A" w:rsidTr="00E80836">
        <w:tc>
          <w:tcPr>
            <w:tcW w:w="5328" w:type="dxa"/>
          </w:tcPr>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E80836" w:rsidRPr="003C124A" w:rsidRDefault="00E80836" w:rsidP="00E80836">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E80836" w:rsidRPr="003C124A" w:rsidTr="00E80836">
        <w:tc>
          <w:tcPr>
            <w:tcW w:w="5328" w:type="dxa"/>
          </w:tcPr>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E80836" w:rsidRPr="003C124A" w:rsidRDefault="00E80836" w:rsidP="00E80836">
            <w:pPr>
              <w:pStyle w:val="ConsPlusCell"/>
              <w:jc w:val="both"/>
              <w:rPr>
                <w:sz w:val="24"/>
                <w:szCs w:val="24"/>
              </w:rPr>
            </w:pPr>
            <w:r w:rsidRPr="003C124A">
              <w:rPr>
                <w:sz w:val="24"/>
                <w:szCs w:val="24"/>
              </w:rPr>
              <w:t>2022 – 2030 годы</w:t>
            </w:r>
          </w:p>
        </w:tc>
      </w:tr>
      <w:tr w:rsidR="00E80836" w:rsidRPr="003C124A" w:rsidTr="00E80836">
        <w:trPr>
          <w:trHeight w:val="401"/>
        </w:trPr>
        <w:tc>
          <w:tcPr>
            <w:tcW w:w="5328"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E80836" w:rsidRPr="003C124A" w:rsidTr="00E80836">
        <w:trPr>
          <w:trHeight w:val="328"/>
        </w:trPr>
        <w:tc>
          <w:tcPr>
            <w:tcW w:w="5328"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E80836" w:rsidRPr="003C124A" w:rsidRDefault="00E80836" w:rsidP="00E8083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E80836" w:rsidRPr="003C124A" w:rsidRDefault="00E80836" w:rsidP="00E8083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E80836" w:rsidRPr="003C124A" w:rsidRDefault="00E80836" w:rsidP="00E8083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E80836" w:rsidRPr="003C124A" w:rsidRDefault="00E80836" w:rsidP="00E8083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E80836" w:rsidRPr="003C124A" w:rsidTr="00E80836">
        <w:trPr>
          <w:trHeight w:val="3605"/>
        </w:trPr>
        <w:tc>
          <w:tcPr>
            <w:tcW w:w="5328" w:type="dxa"/>
          </w:tcPr>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E80836" w:rsidRPr="003C124A" w:rsidRDefault="00E80836" w:rsidP="00E80836">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E80836" w:rsidRPr="003C124A" w:rsidRDefault="00E80836" w:rsidP="00E80836">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E80836" w:rsidRPr="003C124A" w:rsidRDefault="00E80836" w:rsidP="00E80836">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E80836" w:rsidRPr="003C124A" w:rsidRDefault="00E80836" w:rsidP="00E80836">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E80836" w:rsidRPr="003C124A" w:rsidTr="00E80836">
        <w:trPr>
          <w:trHeight w:val="701"/>
        </w:trPr>
        <w:tc>
          <w:tcPr>
            <w:tcW w:w="5328"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63 376 619,94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8 499 231,72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E80836"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80836" w:rsidRPr="003C124A" w:rsidTr="00E80836">
        <w:trPr>
          <w:trHeight w:val="697"/>
        </w:trPr>
        <w:tc>
          <w:tcPr>
            <w:tcW w:w="5328" w:type="dxa"/>
          </w:tcPr>
          <w:p w:rsidR="00E80836" w:rsidRPr="003C124A" w:rsidRDefault="00E80836" w:rsidP="00E80836">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E80836" w:rsidRPr="003C124A" w:rsidRDefault="00E80836" w:rsidP="00E80836">
      <w:pPr>
        <w:spacing w:after="0"/>
        <w:jc w:val="both"/>
        <w:rPr>
          <w:rFonts w:ascii="Times New Roman" w:hAnsi="Times New Roman"/>
          <w:sz w:val="24"/>
          <w:szCs w:val="24"/>
        </w:rPr>
      </w:pPr>
    </w:p>
    <w:p w:rsidR="00E80836" w:rsidRPr="003C124A" w:rsidRDefault="00E80836" w:rsidP="00E80836">
      <w:pPr>
        <w:autoSpaceDE w:val="0"/>
        <w:autoSpaceDN w:val="0"/>
        <w:adjustRightInd w:val="0"/>
        <w:spacing w:after="0"/>
        <w:jc w:val="center"/>
        <w:rPr>
          <w:rFonts w:ascii="Times New Roman" w:hAnsi="Times New Roman"/>
          <w:sz w:val="24"/>
          <w:szCs w:val="24"/>
        </w:rPr>
      </w:pPr>
    </w:p>
    <w:p w:rsidR="00E80836" w:rsidRPr="003C124A" w:rsidRDefault="00E80836" w:rsidP="00E80836">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80836" w:rsidRPr="003C124A" w:rsidRDefault="00E80836" w:rsidP="00E80836">
      <w:pPr>
        <w:autoSpaceDE w:val="0"/>
        <w:autoSpaceDN w:val="0"/>
        <w:adjustRightInd w:val="0"/>
        <w:spacing w:after="0"/>
        <w:jc w:val="both"/>
        <w:rPr>
          <w:rFonts w:ascii="Times New Roman" w:hAnsi="Times New Roman"/>
          <w:sz w:val="24"/>
          <w:szCs w:val="24"/>
          <w:highlight w:val="yellow"/>
        </w:rPr>
      </w:pP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E80836" w:rsidRPr="003C124A" w:rsidRDefault="00E80836" w:rsidP="00E80836">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E80836" w:rsidRPr="003C124A" w:rsidRDefault="00E80836" w:rsidP="00E80836">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E80836" w:rsidRPr="003C124A" w:rsidRDefault="00E80836" w:rsidP="00E80836">
      <w:pPr>
        <w:spacing w:after="0"/>
        <w:jc w:val="both"/>
        <w:rPr>
          <w:rFonts w:ascii="Times New Roman" w:hAnsi="Times New Roman"/>
          <w:sz w:val="24"/>
          <w:szCs w:val="24"/>
        </w:rPr>
      </w:pPr>
    </w:p>
    <w:p w:rsidR="00E80836" w:rsidRPr="003C124A" w:rsidRDefault="00E80836" w:rsidP="00E80836">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80836" w:rsidRPr="003C124A" w:rsidRDefault="00E80836" w:rsidP="00E80836">
      <w:pPr>
        <w:widowControl w:val="0"/>
        <w:autoSpaceDE w:val="0"/>
        <w:autoSpaceDN w:val="0"/>
        <w:adjustRightInd w:val="0"/>
        <w:spacing w:after="0"/>
        <w:jc w:val="both"/>
        <w:outlineLvl w:val="1"/>
        <w:rPr>
          <w:rFonts w:ascii="Times New Roman" w:hAnsi="Times New Roman"/>
          <w:sz w:val="24"/>
          <w:szCs w:val="24"/>
        </w:rPr>
      </w:pP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E80836" w:rsidRPr="003C124A" w:rsidRDefault="00E80836" w:rsidP="00E80836">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E80836" w:rsidRPr="003C124A" w:rsidRDefault="00E80836" w:rsidP="00E80836">
      <w:pPr>
        <w:autoSpaceDE w:val="0"/>
        <w:autoSpaceDN w:val="0"/>
        <w:adjustRightInd w:val="0"/>
        <w:spacing w:after="0"/>
        <w:jc w:val="both"/>
        <w:rPr>
          <w:rFonts w:ascii="Times New Roman" w:hAnsi="Times New Roman"/>
          <w:sz w:val="24"/>
          <w:szCs w:val="24"/>
        </w:rPr>
      </w:pPr>
    </w:p>
    <w:p w:rsidR="00E80836" w:rsidRPr="003C124A" w:rsidRDefault="00E80836" w:rsidP="00E80836">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80836" w:rsidRPr="003C124A" w:rsidRDefault="00E80836" w:rsidP="00E80836">
      <w:pPr>
        <w:autoSpaceDE w:val="0"/>
        <w:autoSpaceDN w:val="0"/>
        <w:adjustRightInd w:val="0"/>
        <w:spacing w:after="0"/>
        <w:ind w:firstLine="540"/>
        <w:jc w:val="both"/>
        <w:rPr>
          <w:rFonts w:ascii="Times New Roman" w:hAnsi="Times New Roman"/>
          <w:sz w:val="24"/>
          <w:szCs w:val="24"/>
        </w:rPr>
      </w:pPr>
    </w:p>
    <w:p w:rsidR="00E80836" w:rsidRPr="003C124A" w:rsidRDefault="00E80836" w:rsidP="00E80836">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80836" w:rsidRPr="003C124A" w:rsidRDefault="00E80836" w:rsidP="00E80836">
      <w:pPr>
        <w:autoSpaceDE w:val="0"/>
        <w:autoSpaceDN w:val="0"/>
        <w:adjustRightInd w:val="0"/>
        <w:spacing w:after="0"/>
        <w:ind w:firstLine="540"/>
        <w:jc w:val="both"/>
        <w:rPr>
          <w:rFonts w:ascii="Times New Roman" w:hAnsi="Times New Roman"/>
          <w:sz w:val="24"/>
          <w:szCs w:val="24"/>
        </w:rPr>
      </w:pPr>
    </w:p>
    <w:p w:rsidR="00E80836" w:rsidRPr="003C124A" w:rsidRDefault="00E80836" w:rsidP="00E80836">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E80836" w:rsidRPr="003C124A" w:rsidRDefault="00E80836" w:rsidP="00E80836">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E80836" w:rsidRPr="003C124A" w:rsidRDefault="00E80836" w:rsidP="00E80836">
      <w:pPr>
        <w:widowControl w:val="0"/>
        <w:autoSpaceDE w:val="0"/>
        <w:autoSpaceDN w:val="0"/>
        <w:adjustRightInd w:val="0"/>
        <w:spacing w:after="0"/>
        <w:jc w:val="both"/>
        <w:rPr>
          <w:rFonts w:ascii="Times New Roman" w:hAnsi="Times New Roman"/>
          <w:sz w:val="24"/>
          <w:szCs w:val="24"/>
        </w:rPr>
      </w:pPr>
    </w:p>
    <w:p w:rsidR="00E80836" w:rsidRPr="003C124A" w:rsidRDefault="00E80836" w:rsidP="00E80836">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E80836" w:rsidRPr="003C124A" w:rsidRDefault="00E80836" w:rsidP="00E80836">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E80836" w:rsidRPr="003C124A" w:rsidRDefault="00E80836" w:rsidP="00E80836">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E80836" w:rsidRPr="003C124A" w:rsidRDefault="00E80836" w:rsidP="00E80836">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E80836" w:rsidRPr="003C124A" w:rsidRDefault="00E80836" w:rsidP="00E80836">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E80836" w:rsidRPr="003C124A" w:rsidRDefault="00E80836" w:rsidP="00E80836">
      <w:pPr>
        <w:widowControl w:val="0"/>
        <w:autoSpaceDE w:val="0"/>
        <w:autoSpaceDN w:val="0"/>
        <w:adjustRightInd w:val="0"/>
        <w:spacing w:after="0"/>
        <w:jc w:val="both"/>
        <w:rPr>
          <w:rFonts w:ascii="Times New Roman" w:hAnsi="Times New Roman"/>
          <w:sz w:val="24"/>
          <w:szCs w:val="24"/>
        </w:rPr>
      </w:pPr>
    </w:p>
    <w:p w:rsidR="00E80836" w:rsidRPr="003C124A" w:rsidRDefault="00E80836" w:rsidP="00E80836">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E80836" w:rsidRPr="003C124A" w:rsidRDefault="00E80836" w:rsidP="00E80836">
      <w:pPr>
        <w:widowControl w:val="0"/>
        <w:autoSpaceDE w:val="0"/>
        <w:autoSpaceDN w:val="0"/>
        <w:adjustRightInd w:val="0"/>
        <w:spacing w:after="0"/>
        <w:jc w:val="center"/>
        <w:rPr>
          <w:rFonts w:ascii="Times New Roman" w:hAnsi="Times New Roman"/>
          <w:sz w:val="24"/>
          <w:szCs w:val="24"/>
        </w:rPr>
      </w:pPr>
    </w:p>
    <w:p w:rsidR="00E80836" w:rsidRPr="00DC1A74" w:rsidRDefault="00E80836" w:rsidP="00E80836">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E80836" w:rsidRPr="005F29A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E80836" w:rsidRPr="005F29A4" w:rsidRDefault="00E80836" w:rsidP="00E80836">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E80836" w:rsidRPr="005F29A4" w:rsidRDefault="00E80836" w:rsidP="00E80836">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E80836" w:rsidRPr="00DC1A74" w:rsidRDefault="00E80836" w:rsidP="00E80836">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E80836" w:rsidRPr="00DC1A7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E80836" w:rsidRPr="00DC1A7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E80836" w:rsidRPr="00DC1A74" w:rsidRDefault="00E80836" w:rsidP="00E80836">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E80836" w:rsidRPr="00DC1A7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E80836" w:rsidRPr="00DC1A7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E80836" w:rsidRPr="00DC1A74" w:rsidRDefault="00E80836" w:rsidP="00E80836">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E80836" w:rsidRPr="00DC1A74"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E80836" w:rsidRPr="00A97C8C" w:rsidRDefault="00E80836" w:rsidP="00E80836">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E80836" w:rsidRPr="001B7CF2" w:rsidRDefault="00E80836" w:rsidP="00E80836">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E80836" w:rsidRPr="00E04E76" w:rsidRDefault="00E80836" w:rsidP="00E80836">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xml:space="preserve">- и водоснабжения </w:t>
      </w:r>
      <w:r w:rsidRPr="002D35B0">
        <w:rPr>
          <w:rFonts w:ascii="Times New Roman" w:hAnsi="Times New Roman"/>
          <w:sz w:val="24"/>
          <w:szCs w:val="24"/>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E80836" w:rsidRPr="002D35B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E80836" w:rsidRPr="00850660" w:rsidRDefault="00E80836" w:rsidP="00E80836">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E80836" w:rsidRDefault="00E80836" w:rsidP="00E80836">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E80836" w:rsidRPr="00075306" w:rsidRDefault="00E80836" w:rsidP="00E80836">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E80836" w:rsidRPr="00075306" w:rsidRDefault="00E80836" w:rsidP="00E80836">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E80836" w:rsidRPr="00075306" w:rsidRDefault="00E80836" w:rsidP="00E80836">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E80836" w:rsidRPr="003A4845" w:rsidRDefault="00E80836" w:rsidP="00E80836">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E80836" w:rsidRDefault="00E80836" w:rsidP="00E80836">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возмещение затрат, образовавшихся в связи с увеличением стоимости приобретения топлива относительно стоимости топ</w:t>
      </w:r>
      <w:r>
        <w:rPr>
          <w:rFonts w:ascii="Times New Roman" w:hAnsi="Times New Roman"/>
          <w:sz w:val="24"/>
          <w:szCs w:val="24"/>
        </w:rPr>
        <w:t>лива, предусмотренной в тарифах;</w:t>
      </w:r>
    </w:p>
    <w:p w:rsidR="00E80836" w:rsidRPr="003A4845" w:rsidRDefault="00E80836" w:rsidP="00E80836">
      <w:pPr>
        <w:autoSpaceDE w:val="0"/>
        <w:autoSpaceDN w:val="0"/>
        <w:adjustRightInd w:val="0"/>
        <w:spacing w:after="0"/>
        <w:jc w:val="both"/>
        <w:rPr>
          <w:rFonts w:ascii="Times New Roman" w:hAnsi="Times New Roman"/>
          <w:color w:val="FF0000"/>
          <w:sz w:val="24"/>
          <w:szCs w:val="24"/>
        </w:rPr>
      </w:pPr>
      <w:r w:rsidRPr="003A4845">
        <w:rPr>
          <w:rFonts w:ascii="Times New Roman" w:hAnsi="Times New Roman"/>
          <w:color w:val="FF0000"/>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E80836" w:rsidRPr="003A4845" w:rsidRDefault="00E80836" w:rsidP="00E80836">
      <w:pPr>
        <w:widowControl w:val="0"/>
        <w:autoSpaceDE w:val="0"/>
        <w:autoSpaceDN w:val="0"/>
        <w:adjustRightInd w:val="0"/>
        <w:spacing w:after="0"/>
        <w:ind w:firstLine="708"/>
        <w:jc w:val="both"/>
        <w:rPr>
          <w:rFonts w:ascii="Times New Roman" w:hAnsi="Times New Roman"/>
          <w:sz w:val="24"/>
          <w:szCs w:val="24"/>
        </w:rPr>
      </w:pPr>
      <w:r w:rsidRPr="003A4845">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E80836" w:rsidRPr="00DC1A74" w:rsidRDefault="00E80836" w:rsidP="00E80836">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E80836" w:rsidRPr="006442AA" w:rsidRDefault="00E80836" w:rsidP="00E80836">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E80836" w:rsidRPr="003C124A" w:rsidRDefault="00E80836" w:rsidP="00E80836">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E80836" w:rsidRPr="003C124A" w:rsidRDefault="00E80836" w:rsidP="00E80836">
      <w:pPr>
        <w:autoSpaceDE w:val="0"/>
        <w:autoSpaceDN w:val="0"/>
        <w:adjustRightInd w:val="0"/>
        <w:spacing w:after="0"/>
        <w:jc w:val="both"/>
        <w:rPr>
          <w:rFonts w:ascii="Times New Roman" w:hAnsi="Times New Roman"/>
          <w:sz w:val="24"/>
          <w:szCs w:val="24"/>
        </w:rPr>
      </w:pPr>
    </w:p>
    <w:p w:rsidR="00E80836" w:rsidRDefault="00E80836" w:rsidP="00E80836">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80836" w:rsidRPr="003C124A" w:rsidRDefault="00E80836" w:rsidP="00E80836">
      <w:pPr>
        <w:autoSpaceDE w:val="0"/>
        <w:autoSpaceDN w:val="0"/>
        <w:adjustRightInd w:val="0"/>
        <w:spacing w:after="0"/>
        <w:jc w:val="center"/>
        <w:rPr>
          <w:rFonts w:ascii="Times New Roman" w:hAnsi="Times New Roman"/>
          <w:sz w:val="24"/>
          <w:szCs w:val="24"/>
        </w:rPr>
      </w:pP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63 376 619,94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8 499 231,72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E80836" w:rsidRDefault="00E80836" w:rsidP="00E80836">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E80836" w:rsidRPr="003D53BE" w:rsidRDefault="00E80836" w:rsidP="00E8083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E80836" w:rsidRPr="003C124A" w:rsidRDefault="00E80836" w:rsidP="00E80836">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80836" w:rsidRPr="003C124A" w:rsidRDefault="00E80836" w:rsidP="00E80836">
      <w:pPr>
        <w:tabs>
          <w:tab w:val="left" w:pos="567"/>
          <w:tab w:val="left" w:pos="993"/>
        </w:tabs>
        <w:spacing w:after="0"/>
        <w:jc w:val="both"/>
        <w:rPr>
          <w:rFonts w:ascii="Times New Roman" w:hAnsi="Times New Roman"/>
          <w:sz w:val="24"/>
          <w:szCs w:val="24"/>
        </w:rPr>
      </w:pPr>
    </w:p>
    <w:p w:rsidR="00E80836" w:rsidRPr="003C124A" w:rsidRDefault="00E80836" w:rsidP="00E80836">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80836" w:rsidRPr="003C124A" w:rsidRDefault="00E80836" w:rsidP="00E80836">
      <w:pPr>
        <w:tabs>
          <w:tab w:val="left" w:pos="567"/>
          <w:tab w:val="left" w:pos="993"/>
        </w:tabs>
        <w:spacing w:after="0"/>
        <w:jc w:val="center"/>
        <w:rPr>
          <w:rFonts w:ascii="Times New Roman" w:hAnsi="Times New Roman"/>
          <w:sz w:val="24"/>
          <w:szCs w:val="24"/>
        </w:rPr>
      </w:pPr>
    </w:p>
    <w:p w:rsidR="00E80836" w:rsidRPr="003C124A" w:rsidRDefault="00E80836" w:rsidP="00E80836">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E80836" w:rsidRPr="003C124A" w:rsidRDefault="00E80836" w:rsidP="00E80836">
      <w:pPr>
        <w:widowControl w:val="0"/>
        <w:autoSpaceDE w:val="0"/>
        <w:autoSpaceDN w:val="0"/>
        <w:adjustRightInd w:val="0"/>
        <w:spacing w:after="0"/>
        <w:jc w:val="both"/>
        <w:outlineLvl w:val="3"/>
        <w:rPr>
          <w:rFonts w:ascii="Times New Roman" w:hAnsi="Times New Roman"/>
          <w:sz w:val="24"/>
          <w:szCs w:val="24"/>
        </w:rPr>
      </w:pP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E80836" w:rsidRPr="003C124A" w:rsidRDefault="00E80836" w:rsidP="00E8083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E80836" w:rsidRPr="003C124A" w:rsidRDefault="00E80836" w:rsidP="00E80836">
      <w:pPr>
        <w:autoSpaceDE w:val="0"/>
        <w:autoSpaceDN w:val="0"/>
        <w:adjustRightInd w:val="0"/>
        <w:spacing w:after="0"/>
        <w:jc w:val="both"/>
        <w:rPr>
          <w:rFonts w:ascii="Times New Roman" w:hAnsi="Times New Roman"/>
          <w:sz w:val="24"/>
          <w:szCs w:val="24"/>
        </w:rPr>
      </w:pPr>
    </w:p>
    <w:p w:rsidR="00E80836" w:rsidRPr="003C124A" w:rsidRDefault="00E80836" w:rsidP="00E80836">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E80836" w:rsidRPr="003C124A" w:rsidRDefault="00E80836" w:rsidP="00E80836">
      <w:pPr>
        <w:autoSpaceDE w:val="0"/>
        <w:autoSpaceDN w:val="0"/>
        <w:adjustRightInd w:val="0"/>
        <w:spacing w:after="0"/>
        <w:ind w:firstLine="709"/>
        <w:jc w:val="center"/>
        <w:rPr>
          <w:rFonts w:ascii="Times New Roman" w:hAnsi="Times New Roman"/>
          <w:sz w:val="24"/>
          <w:szCs w:val="24"/>
        </w:rPr>
      </w:pPr>
    </w:p>
    <w:p w:rsidR="00E80836" w:rsidRPr="003C124A" w:rsidRDefault="00E80836" w:rsidP="00E80836">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0836" w:rsidRDefault="00E80836" w:rsidP="00E80836">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w:t>
            </w:r>
            <w:r w:rsidRPr="003C124A">
              <w:rPr>
                <w:sz w:val="24"/>
                <w:szCs w:val="24"/>
              </w:rPr>
              <w:lastRenderedPageBreak/>
              <w:t xml:space="preserve">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 xml:space="preserve">47 </w:t>
            </w:r>
            <w:r w:rsidR="00682B04">
              <w:rPr>
                <w:rFonts w:ascii="Times New Roman" w:hAnsi="Times New Roman"/>
                <w:sz w:val="24"/>
                <w:szCs w:val="24"/>
              </w:rPr>
              <w:t>901</w:t>
            </w:r>
            <w:r w:rsidR="002D35B0">
              <w:rPr>
                <w:rFonts w:ascii="Times New Roman" w:hAnsi="Times New Roman"/>
                <w:sz w:val="24"/>
                <w:szCs w:val="24"/>
              </w:rPr>
              <w:t xml:space="preserve">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w:t>
            </w:r>
            <w:r w:rsidR="00682B04">
              <w:rPr>
                <w:rFonts w:ascii="Times New Roman" w:hAnsi="Times New Roman"/>
                <w:sz w:val="24"/>
                <w:szCs w:val="24"/>
              </w:rPr>
              <w:t>25</w:t>
            </w:r>
            <w:r w:rsidR="002D35B0">
              <w:rPr>
                <w:rFonts w:ascii="Times New Roman" w:hAnsi="Times New Roman"/>
                <w:sz w:val="24"/>
                <w:szCs w:val="24"/>
              </w:rPr>
              <w:t xml:space="preserve">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w:t>
            </w:r>
            <w:r w:rsidR="00682B04">
              <w:rPr>
                <w:rFonts w:ascii="Times New Roman" w:hAnsi="Times New Roman"/>
                <w:sz w:val="24"/>
                <w:szCs w:val="24"/>
              </w:rPr>
              <w:t>88</w:t>
            </w:r>
            <w:r w:rsidR="002D35B0">
              <w:rPr>
                <w:rFonts w:ascii="Times New Roman" w:hAnsi="Times New Roman"/>
                <w:sz w:val="24"/>
                <w:szCs w:val="24"/>
              </w:rPr>
              <w:t xml:space="preserve">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2023 год – </w:t>
            </w:r>
            <w:r w:rsidR="002D35B0">
              <w:rPr>
                <w:rFonts w:ascii="Times New Roman" w:hAnsi="Times New Roman"/>
                <w:sz w:val="24"/>
                <w:szCs w:val="24"/>
              </w:rPr>
              <w:t xml:space="preserve">4 </w:t>
            </w:r>
            <w:r w:rsidR="00682B04">
              <w:rPr>
                <w:rFonts w:ascii="Times New Roman" w:hAnsi="Times New Roman"/>
                <w:sz w:val="24"/>
                <w:szCs w:val="24"/>
              </w:rPr>
              <w:t>914</w:t>
            </w:r>
            <w:r w:rsidR="002D35B0">
              <w:rPr>
                <w:rFonts w:ascii="Times New Roman" w:hAnsi="Times New Roman"/>
                <w:sz w:val="24"/>
                <w:szCs w:val="24"/>
              </w:rPr>
              <w:t xml:space="preserve">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lastRenderedPageBreak/>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xml:space="preserve">» на сумму 320 млн.руб. мощностью 22 тыс.тонн молока в год. </w:t>
      </w:r>
      <w:r w:rsidRPr="001877B2">
        <w:rPr>
          <w:rFonts w:ascii="Times New Roman" w:hAnsi="Times New Roman"/>
          <w:sz w:val="24"/>
          <w:szCs w:val="24"/>
        </w:rPr>
        <w:lastRenderedPageBreak/>
        <w:t>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w:t>
      </w:r>
      <w:r w:rsidRPr="003C124A">
        <w:rPr>
          <w:rFonts w:ascii="Times New Roman" w:hAnsi="Times New Roman"/>
          <w:sz w:val="24"/>
          <w:szCs w:val="24"/>
        </w:rPr>
        <w:lastRenderedPageBreak/>
        <w:t>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682B04" w:rsidRPr="003C124A" w:rsidRDefault="002D35B0" w:rsidP="00682B04">
      <w:pPr>
        <w:spacing w:after="0"/>
        <w:jc w:val="both"/>
        <w:rPr>
          <w:rFonts w:ascii="Times New Roman" w:hAnsi="Times New Roman"/>
          <w:sz w:val="24"/>
          <w:szCs w:val="24"/>
        </w:rPr>
      </w:pPr>
      <w:r>
        <w:rPr>
          <w:rFonts w:ascii="Times New Roman" w:hAnsi="Times New Roman"/>
          <w:sz w:val="24"/>
          <w:szCs w:val="24"/>
        </w:rPr>
        <w:tab/>
      </w:r>
      <w:r w:rsidR="00682B04"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682B04">
        <w:rPr>
          <w:rFonts w:ascii="Times New Roman" w:hAnsi="Times New Roman"/>
          <w:sz w:val="24"/>
          <w:szCs w:val="24"/>
        </w:rPr>
        <w:t>47 901 853,11</w:t>
      </w:r>
      <w:r w:rsidR="00682B04" w:rsidRPr="003C124A">
        <w:rPr>
          <w:rFonts w:ascii="Times New Roman" w:hAnsi="Times New Roman"/>
          <w:sz w:val="24"/>
          <w:szCs w:val="24"/>
        </w:rPr>
        <w:t xml:space="preserve"> рубл</w:t>
      </w:r>
      <w:r w:rsidR="00682B04">
        <w:rPr>
          <w:rFonts w:ascii="Times New Roman" w:hAnsi="Times New Roman"/>
          <w:sz w:val="24"/>
          <w:szCs w:val="24"/>
        </w:rPr>
        <w:t>я</w:t>
      </w:r>
      <w:r w:rsidR="00682B04" w:rsidRPr="003C124A">
        <w:rPr>
          <w:rFonts w:ascii="Times New Roman" w:hAnsi="Times New Roman"/>
          <w:sz w:val="24"/>
          <w:szCs w:val="24"/>
        </w:rPr>
        <w:t xml:space="preserve">, в том числе: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682B04">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lastRenderedPageBreak/>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Наименование исполнительно-</w:t>
            </w:r>
            <w:r w:rsidRPr="005B5C37">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lastRenderedPageBreak/>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38 406 647,23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90D62">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28 045 937,33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 xml:space="preserve">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w:t>
      </w:r>
      <w:r w:rsidRPr="005B5C37">
        <w:rPr>
          <w:rFonts w:ascii="Times New Roman" w:hAnsi="Times New Roman"/>
          <w:sz w:val="24"/>
          <w:szCs w:val="24"/>
        </w:rPr>
        <w:lastRenderedPageBreak/>
        <w:t>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lastRenderedPageBreak/>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90D62" w:rsidRPr="005B5C37" w:rsidRDefault="00C6540B" w:rsidP="00190D62">
      <w:pPr>
        <w:spacing w:after="0"/>
        <w:jc w:val="both"/>
        <w:rPr>
          <w:rFonts w:ascii="Times New Roman" w:hAnsi="Times New Roman"/>
          <w:sz w:val="24"/>
          <w:szCs w:val="24"/>
        </w:rPr>
      </w:pPr>
      <w:r w:rsidRPr="005B5C37">
        <w:rPr>
          <w:rFonts w:ascii="Times New Roman" w:hAnsi="Times New Roman"/>
          <w:sz w:val="24"/>
          <w:szCs w:val="24"/>
        </w:rPr>
        <w:tab/>
      </w:r>
      <w:r w:rsidR="00190D62"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00190D62"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38 406 647,23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28 045 937,33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lastRenderedPageBreak/>
        <w:t>2026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190D62"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90D62">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lastRenderedPageBreak/>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w:t>
            </w:r>
            <w:r w:rsidRPr="003C124A">
              <w:rPr>
                <w:rFonts w:ascii="Times New Roman" w:hAnsi="Times New Roman"/>
                <w:sz w:val="24"/>
                <w:szCs w:val="24"/>
              </w:rPr>
              <w:lastRenderedPageBreak/>
              <w:t xml:space="preserve">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 xml:space="preserve">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w:t>
      </w:r>
      <w:r w:rsidRPr="003C124A">
        <w:rPr>
          <w:rFonts w:ascii="Times New Roman" w:hAnsi="Times New Roman"/>
          <w:sz w:val="24"/>
          <w:szCs w:val="24"/>
        </w:rPr>
        <w:lastRenderedPageBreak/>
        <w:t>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w:t>
      </w:r>
      <w:r w:rsidRPr="00945B36">
        <w:rPr>
          <w:rFonts w:ascii="Times New Roman" w:hAnsi="Times New Roman"/>
          <w:color w:val="000000" w:themeColor="text1"/>
          <w:sz w:val="24"/>
          <w:szCs w:val="24"/>
        </w:rPr>
        <w:lastRenderedPageBreak/>
        <w:t>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lastRenderedPageBreak/>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w:t>
      </w:r>
      <w:r w:rsidRPr="003C124A">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w:t>
      </w:r>
      <w:r w:rsidRPr="003C124A">
        <w:rPr>
          <w:rFonts w:ascii="Times New Roman" w:hAnsi="Times New Roman"/>
          <w:sz w:val="24"/>
          <w:szCs w:val="24"/>
        </w:rPr>
        <w:lastRenderedPageBreak/>
        <w:t>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lastRenderedPageBreak/>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lastRenderedPageBreak/>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6958"/>
    <w:rsid w:val="00543CEB"/>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247</TotalTime>
  <Pages>83</Pages>
  <Words>32313</Words>
  <Characters>184188</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216069</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2024-06-17T02:30:00Z</dcterms:created>
  <dcterms:modified xsi:type="dcterms:W3CDTF">2024-06-17T06:59:00Z</dcterms:modified>
</cp:coreProperties>
</file>