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DE0BD6">
        <w:rPr>
          <w:rFonts w:ascii="Times New Roman" w:hAnsi="Times New Roman"/>
          <w:sz w:val="24"/>
          <w:szCs w:val="24"/>
        </w:rPr>
        <w:t>01.02</w:t>
      </w:r>
      <w:r w:rsidR="00A410E8">
        <w:rPr>
          <w:rFonts w:ascii="Times New Roman" w:hAnsi="Times New Roman"/>
          <w:sz w:val="24"/>
          <w:szCs w:val="24"/>
        </w:rPr>
        <w:t>.2024</w:t>
      </w:r>
      <w:r w:rsidRPr="00787838">
        <w:rPr>
          <w:rFonts w:ascii="Times New Roman" w:hAnsi="Times New Roman"/>
          <w:sz w:val="24"/>
          <w:szCs w:val="24"/>
        </w:rPr>
        <w:t xml:space="preserve"> года № </w:t>
      </w:r>
      <w:r w:rsidR="00DE0BD6">
        <w:rPr>
          <w:rFonts w:ascii="Times New Roman" w:hAnsi="Times New Roman"/>
          <w:sz w:val="24"/>
          <w:szCs w:val="24"/>
        </w:rPr>
        <w:t>36</w:t>
      </w:r>
      <w:r w:rsidR="00EB3F37" w:rsidRPr="00787838">
        <w:rPr>
          <w:rFonts w:ascii="Times New Roman" w:hAnsi="Times New Roman"/>
          <w:sz w:val="24"/>
          <w:szCs w:val="24"/>
        </w:rPr>
        <w:t>-п</w:t>
      </w:r>
      <w:r w:rsidR="0040353B" w:rsidRPr="00787838">
        <w:rPr>
          <w:rFonts w:ascii="Times New Roman" w:hAnsi="Times New Roman"/>
          <w:sz w:val="24"/>
          <w:szCs w:val="24"/>
        </w:rPr>
        <w:t>)</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средств на финансирование муниципальной программы составляет 1 </w:t>
            </w:r>
            <w:r w:rsidR="00D663FA">
              <w:rPr>
                <w:rFonts w:ascii="Times New Roman" w:hAnsi="Times New Roman"/>
                <w:sz w:val="24"/>
                <w:szCs w:val="24"/>
              </w:rPr>
              <w:t>021 708 593,57</w:t>
            </w:r>
            <w:r w:rsidRPr="00E04E76">
              <w:rPr>
                <w:rFonts w:ascii="Times New Roman" w:hAnsi="Times New Roman"/>
                <w:sz w:val="24"/>
                <w:szCs w:val="24"/>
              </w:rPr>
              <w:t xml:space="preserve"> рубл</w:t>
            </w:r>
            <w:r w:rsidR="00D663FA">
              <w:rPr>
                <w:rFonts w:ascii="Times New Roman" w:hAnsi="Times New Roman"/>
                <w:sz w:val="24"/>
                <w:szCs w:val="24"/>
              </w:rPr>
              <w:t>я</w:t>
            </w:r>
            <w:r w:rsidRPr="00E04E76">
              <w:rPr>
                <w:rFonts w:ascii="Times New Roman" w:hAnsi="Times New Roman"/>
                <w:sz w:val="24"/>
                <w:szCs w:val="24"/>
              </w:rPr>
              <w:t>, в том числе:</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166 293 592,04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sidR="00D663FA">
              <w:rPr>
                <w:rFonts w:ascii="Times New Roman" w:hAnsi="Times New Roman"/>
                <w:sz w:val="24"/>
                <w:szCs w:val="24"/>
              </w:rPr>
              <w:t>171 486 967,18</w:t>
            </w:r>
            <w:r w:rsidRPr="00E04E76">
              <w:rPr>
                <w:rFonts w:ascii="Times New Roman" w:hAnsi="Times New Roman"/>
                <w:sz w:val="24"/>
                <w:szCs w:val="24"/>
              </w:rPr>
              <w:t xml:space="preserve"> рубл</w:t>
            </w:r>
            <w:r w:rsidR="00D663FA">
              <w:rPr>
                <w:rFonts w:ascii="Times New Roman" w:hAnsi="Times New Roman"/>
                <w:sz w:val="24"/>
                <w:szCs w:val="24"/>
              </w:rPr>
              <w:t>ей</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0A6749">
              <w:rPr>
                <w:rFonts w:ascii="Times New Roman" w:hAnsi="Times New Roman"/>
                <w:sz w:val="24"/>
                <w:szCs w:val="24"/>
              </w:rPr>
              <w:t>168 677 274,67</w:t>
            </w:r>
            <w:r w:rsidRPr="00E04E76">
              <w:rPr>
                <w:rFonts w:ascii="Times New Roman" w:hAnsi="Times New Roman"/>
                <w:sz w:val="24"/>
                <w:szCs w:val="24"/>
              </w:rPr>
              <w:t xml:space="preserve"> рубл</w:t>
            </w:r>
            <w:r w:rsidR="0023216D">
              <w:rPr>
                <w:rFonts w:ascii="Times New Roman" w:hAnsi="Times New Roman"/>
                <w:sz w:val="24"/>
                <w:szCs w:val="24"/>
              </w:rPr>
              <w:t>я</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2025 год – 120 604 613,32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122 201 405,20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67 978 685,29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67 868 685,29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2029 год – 68 118 685,29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68 478 685,29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0A6749">
              <w:rPr>
                <w:rFonts w:ascii="Times New Roman" w:hAnsi="Times New Roman"/>
                <w:sz w:val="24"/>
                <w:szCs w:val="24"/>
              </w:rPr>
              <w:t>633 479 698,63</w:t>
            </w:r>
            <w:r w:rsidRPr="00E04E76">
              <w:rPr>
                <w:rFonts w:ascii="Times New Roman" w:hAnsi="Times New Roman"/>
                <w:sz w:val="24"/>
                <w:szCs w:val="24"/>
              </w:rPr>
              <w:t xml:space="preserve"> рубл</w:t>
            </w:r>
            <w:r w:rsidR="000A6749">
              <w:rPr>
                <w:rFonts w:ascii="Times New Roman" w:hAnsi="Times New Roman"/>
                <w:sz w:val="24"/>
                <w:szCs w:val="24"/>
              </w:rPr>
              <w:t>ей</w:t>
            </w:r>
            <w:r w:rsidRPr="00E04E76">
              <w:rPr>
                <w:rFonts w:ascii="Times New Roman" w:hAnsi="Times New Roman"/>
                <w:sz w:val="24"/>
                <w:szCs w:val="24"/>
              </w:rPr>
              <w:t xml:space="preserve">, в том числе: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82 661 934,97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sidR="000A6749">
              <w:rPr>
                <w:rFonts w:ascii="Times New Roman" w:hAnsi="Times New Roman"/>
                <w:sz w:val="24"/>
                <w:szCs w:val="24"/>
              </w:rPr>
              <w:t>99 780 194,20</w:t>
            </w:r>
            <w:r w:rsidRPr="00E04E76">
              <w:rPr>
                <w:rFonts w:ascii="Times New Roman" w:hAnsi="Times New Roman"/>
                <w:sz w:val="24"/>
                <w:szCs w:val="24"/>
              </w:rPr>
              <w:t xml:space="preserve"> рубл</w:t>
            </w:r>
            <w:r w:rsidR="000A6749">
              <w:rPr>
                <w:rFonts w:ascii="Times New Roman" w:hAnsi="Times New Roman"/>
                <w:sz w:val="24"/>
                <w:szCs w:val="24"/>
              </w:rPr>
              <w:t>я</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0A6749">
              <w:rPr>
                <w:rFonts w:ascii="Times New Roman" w:hAnsi="Times New Roman"/>
                <w:sz w:val="24"/>
                <w:szCs w:val="24"/>
              </w:rPr>
              <w:t>108 133 950,58</w:t>
            </w:r>
            <w:r w:rsidRPr="00E04E76">
              <w:rPr>
                <w:rFonts w:ascii="Times New Roman" w:hAnsi="Times New Roman"/>
                <w:sz w:val="24"/>
                <w:szCs w:val="24"/>
              </w:rPr>
              <w:t xml:space="preserve">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2025 год – 88 969 672,66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90 363 988,14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40 759 989,52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40 649 989,52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2029 год – 40 899 989,52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41 259 989,52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0A6749">
              <w:rPr>
                <w:rFonts w:ascii="Times New Roman" w:hAnsi="Times New Roman"/>
                <w:sz w:val="24"/>
                <w:szCs w:val="24"/>
              </w:rPr>
              <w:t>364 872 802,58</w:t>
            </w:r>
            <w:r w:rsidRPr="00E04E76">
              <w:rPr>
                <w:rFonts w:ascii="Times New Roman" w:hAnsi="Times New Roman"/>
                <w:sz w:val="24"/>
                <w:szCs w:val="24"/>
              </w:rPr>
              <w:t xml:space="preserve"> рубл</w:t>
            </w:r>
            <w:r w:rsidR="000A6749">
              <w:rPr>
                <w:rFonts w:ascii="Times New Roman" w:hAnsi="Times New Roman"/>
                <w:sz w:val="24"/>
                <w:szCs w:val="24"/>
              </w:rPr>
              <w:t>я</w:t>
            </w:r>
            <w:r w:rsidRPr="00E04E76">
              <w:rPr>
                <w:rFonts w:ascii="Times New Roman" w:hAnsi="Times New Roman"/>
                <w:sz w:val="24"/>
                <w:szCs w:val="24"/>
              </w:rPr>
              <w:t xml:space="preserve">, в том числе: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71 </w:t>
            </w:r>
            <w:r w:rsidR="000A6749">
              <w:rPr>
                <w:rFonts w:ascii="Times New Roman" w:hAnsi="Times New Roman"/>
                <w:sz w:val="24"/>
                <w:szCs w:val="24"/>
              </w:rPr>
              <w:t>706 700,66</w:t>
            </w:r>
            <w:r w:rsidRPr="00E04E76">
              <w:rPr>
                <w:rFonts w:ascii="Times New Roman" w:hAnsi="Times New Roman"/>
                <w:sz w:val="24"/>
                <w:szCs w:val="24"/>
              </w:rPr>
              <w:t xml:space="preserve"> рубл</w:t>
            </w:r>
            <w:r w:rsidR="000A6749">
              <w:rPr>
                <w:rFonts w:ascii="Times New Roman" w:hAnsi="Times New Roman"/>
                <w:sz w:val="24"/>
                <w:szCs w:val="24"/>
              </w:rPr>
              <w:t>ей</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23216D">
              <w:rPr>
                <w:rFonts w:ascii="Times New Roman" w:hAnsi="Times New Roman"/>
                <w:sz w:val="24"/>
                <w:szCs w:val="24"/>
              </w:rPr>
              <w:t>60 542 971,27</w:t>
            </w:r>
            <w:r w:rsidRPr="00E04E76">
              <w:rPr>
                <w:rFonts w:ascii="Times New Roman" w:hAnsi="Times New Roman"/>
                <w:sz w:val="24"/>
                <w:szCs w:val="24"/>
              </w:rPr>
              <w:t xml:space="preserve"> рубл</w:t>
            </w:r>
            <w:r w:rsidR="0023216D">
              <w:rPr>
                <w:rFonts w:ascii="Times New Roman" w:hAnsi="Times New Roman"/>
                <w:sz w:val="24"/>
                <w:szCs w:val="24"/>
              </w:rPr>
              <w:t>ь</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lastRenderedPageBreak/>
              <w:t>2029 год – 27 218 695,77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2022 год –  23 258 648,04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2023 год –  72,32 рубля;</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2024 год –  352,82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2025 год –  469,18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2026 год –  96 550,00 рублей</w:t>
            </w:r>
          </w:p>
          <w:p w:rsidR="000E348C" w:rsidRPr="00E04E76" w:rsidRDefault="000E348C" w:rsidP="000E348C">
            <w:pPr>
              <w:spacing w:after="0" w:line="240" w:lineRule="auto"/>
              <w:jc w:val="both"/>
              <w:rPr>
                <w:rFonts w:ascii="Times New Roman" w:hAnsi="Times New Roman"/>
                <w:sz w:val="24"/>
                <w:szCs w:val="24"/>
                <w:highlight w:val="yellow"/>
              </w:rPr>
            </w:pPr>
            <w:r w:rsidRPr="00E04E7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 xml:space="preserve">Число субъектов малого и среднего </w:t>
            </w:r>
            <w:r w:rsidRPr="003C124A">
              <w:rPr>
                <w:sz w:val="24"/>
                <w:szCs w:val="24"/>
              </w:rPr>
              <w:lastRenderedPageBreak/>
              <w:t>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 xml:space="preserve">является  одним из приоритетных </w:t>
      </w:r>
      <w:r w:rsidR="00480434" w:rsidRPr="003C124A">
        <w:rPr>
          <w:rFonts w:ascii="Times New Roman" w:hAnsi="Times New Roman" w:cs="Times New Roman"/>
          <w:sz w:val="24"/>
          <w:szCs w:val="24"/>
        </w:rPr>
        <w:lastRenderedPageBreak/>
        <w:t>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средств на финансирование муниципальной программы составляет 1 </w:t>
      </w:r>
      <w:r>
        <w:rPr>
          <w:rFonts w:ascii="Times New Roman" w:hAnsi="Times New Roman"/>
          <w:sz w:val="24"/>
          <w:szCs w:val="24"/>
        </w:rPr>
        <w:t>021 708 593,57</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 в том числе:</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2022 год –  166 293 592,04 рубля;</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Pr>
          <w:rFonts w:ascii="Times New Roman" w:hAnsi="Times New Roman"/>
          <w:sz w:val="24"/>
          <w:szCs w:val="24"/>
        </w:rPr>
        <w:t>171 486 967,18</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168 677 274,67</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2025 год – 120 604 613,32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2026 год – 122 201 405,20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2027 год – 67 978 685,29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67 868 685,29 рублей; </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2029 год – 68 118 685,29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2030 год – 68 478 685,29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633 479 698,63</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 xml:space="preserve">, в том числе: </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2022 год – 82 661 934,97 рубля;</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Pr>
          <w:rFonts w:ascii="Times New Roman" w:hAnsi="Times New Roman"/>
          <w:sz w:val="24"/>
          <w:szCs w:val="24"/>
        </w:rPr>
        <w:t>99 780 194,20</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108 133 950,58</w:t>
      </w:r>
      <w:r w:rsidRPr="00E04E76">
        <w:rPr>
          <w:rFonts w:ascii="Times New Roman" w:hAnsi="Times New Roman"/>
          <w:sz w:val="24"/>
          <w:szCs w:val="24"/>
        </w:rPr>
        <w:t xml:space="preserve"> рублей; </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2025 год – 88 969 672,66 рублей; </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2026 год – 90 363 988,14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2027 год – 40 759 989,52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40 649 989,52 рублей; </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2029 год – 40 899 989,52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2030 год – 41 259 989,52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364 872 802,58</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 xml:space="preserve">, в том числе:                    </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71 </w:t>
      </w:r>
      <w:r>
        <w:rPr>
          <w:rFonts w:ascii="Times New Roman" w:hAnsi="Times New Roman"/>
          <w:sz w:val="24"/>
          <w:szCs w:val="24"/>
        </w:rPr>
        <w:t>706 700,66</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60 542 971,27</w:t>
      </w:r>
      <w:r w:rsidRPr="00E04E76">
        <w:rPr>
          <w:rFonts w:ascii="Times New Roman" w:hAnsi="Times New Roman"/>
          <w:sz w:val="24"/>
          <w:szCs w:val="24"/>
        </w:rPr>
        <w:t xml:space="preserve"> рубл</w:t>
      </w:r>
      <w:r>
        <w:rPr>
          <w:rFonts w:ascii="Times New Roman" w:hAnsi="Times New Roman"/>
          <w:sz w:val="24"/>
          <w:szCs w:val="24"/>
        </w:rPr>
        <w:t>ь</w:t>
      </w:r>
      <w:r w:rsidRPr="00E04E76">
        <w:rPr>
          <w:rFonts w:ascii="Times New Roman" w:hAnsi="Times New Roman"/>
          <w:sz w:val="24"/>
          <w:szCs w:val="24"/>
        </w:rPr>
        <w:t>;</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2029 год – 27 218 695,77  рублей;</w:t>
      </w:r>
    </w:p>
    <w:p w:rsidR="000A6749" w:rsidRPr="00E04E76" w:rsidRDefault="000A6749" w:rsidP="000A6749">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15086B" w:rsidRPr="0015086B" w:rsidRDefault="0015086B" w:rsidP="00A00E18">
      <w:pPr>
        <w:spacing w:after="0" w:line="240" w:lineRule="auto"/>
        <w:jc w:val="both"/>
        <w:rPr>
          <w:rFonts w:ascii="Times New Roman" w:hAnsi="Times New Roman"/>
          <w:sz w:val="24"/>
          <w:szCs w:val="24"/>
        </w:rPr>
      </w:pPr>
      <w:r w:rsidRPr="0015086B">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2022 год –  23 258 648,04 рублей;</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2023 год –  72,32 рубля;</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2024 год –  352,82 рублей;</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2025 год –  469,18 рублей;</w:t>
      </w:r>
    </w:p>
    <w:p w:rsidR="0015086B" w:rsidRPr="0015086B" w:rsidRDefault="0015086B" w:rsidP="0015086B">
      <w:pPr>
        <w:spacing w:after="0" w:line="240" w:lineRule="auto"/>
        <w:jc w:val="both"/>
        <w:rPr>
          <w:rFonts w:ascii="Times New Roman" w:hAnsi="Times New Roman"/>
          <w:sz w:val="24"/>
          <w:szCs w:val="24"/>
        </w:rPr>
      </w:pPr>
      <w:r w:rsidRPr="0015086B">
        <w:rPr>
          <w:rFonts w:ascii="Times New Roman" w:hAnsi="Times New Roman"/>
          <w:sz w:val="24"/>
          <w:szCs w:val="24"/>
        </w:rPr>
        <w:t>2026 год –  96 550,00 рублей</w:t>
      </w:r>
    </w:p>
    <w:p w:rsidR="002F48D5" w:rsidRPr="002F48D5" w:rsidRDefault="002F48D5" w:rsidP="005B5C37">
      <w:pPr>
        <w:spacing w:after="0" w:line="240" w:lineRule="auto"/>
        <w:jc w:val="both"/>
        <w:rPr>
          <w:rFonts w:ascii="Times New Roman" w:hAnsi="Times New Roman"/>
          <w:sz w:val="24"/>
          <w:szCs w:val="24"/>
        </w:rPr>
      </w:pPr>
      <w:r w:rsidRPr="002F48D5">
        <w:rPr>
          <w:rFonts w:ascii="Times New Roman" w:hAnsi="Times New Roman"/>
          <w:sz w:val="24"/>
          <w:szCs w:val="24"/>
        </w:rPr>
        <w:tab/>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w:t>
      </w:r>
      <w:r w:rsidR="002F5600" w:rsidRPr="003C124A">
        <w:rPr>
          <w:rFonts w:ascii="Times New Roman" w:hAnsi="Times New Roman"/>
          <w:sz w:val="24"/>
          <w:szCs w:val="24"/>
        </w:rPr>
        <w:lastRenderedPageBreak/>
        <w:t>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A410E8" w:rsidRPr="003C124A"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A410E8" w:rsidRPr="002F48D5" w:rsidRDefault="00A410E8" w:rsidP="00A410E8">
      <w:pPr>
        <w:pStyle w:val="ConsPlusNonformat"/>
        <w:jc w:val="center"/>
        <w:rPr>
          <w:rFonts w:ascii="Times New Roman" w:hAnsi="Times New Roman" w:cs="Times New Roman"/>
          <w:sz w:val="24"/>
          <w:szCs w:val="24"/>
        </w:rPr>
      </w:pPr>
    </w:p>
    <w:p w:rsidR="00A410E8" w:rsidRPr="002F48D5" w:rsidRDefault="00A410E8" w:rsidP="00A410E8">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A410E8" w:rsidRPr="002F48D5" w:rsidRDefault="00A410E8" w:rsidP="00A410E8">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A410E8" w:rsidRPr="002F48D5" w:rsidRDefault="00A410E8" w:rsidP="00A410E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A410E8" w:rsidRPr="002F48D5" w:rsidTr="00A410E8">
        <w:tc>
          <w:tcPr>
            <w:tcW w:w="4503" w:type="dxa"/>
          </w:tcPr>
          <w:p w:rsidR="00A410E8" w:rsidRPr="002F48D5" w:rsidRDefault="00A410E8" w:rsidP="00A410E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A410E8" w:rsidRPr="002F48D5" w:rsidTr="00A410E8">
        <w:tc>
          <w:tcPr>
            <w:tcW w:w="4503" w:type="dxa"/>
          </w:tcPr>
          <w:p w:rsidR="00A410E8" w:rsidRPr="002F48D5" w:rsidRDefault="00A410E8" w:rsidP="00A410E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A410E8" w:rsidRPr="002F48D5" w:rsidTr="00A410E8">
        <w:trPr>
          <w:trHeight w:val="401"/>
        </w:trPr>
        <w:tc>
          <w:tcPr>
            <w:tcW w:w="4503" w:type="dxa"/>
          </w:tcPr>
          <w:p w:rsidR="00A410E8" w:rsidRPr="002F48D5" w:rsidRDefault="00A410E8" w:rsidP="00A410E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w:t>
            </w:r>
            <w:r w:rsidRPr="002F48D5">
              <w:rPr>
                <w:rFonts w:ascii="Times New Roman" w:hAnsi="Times New Roman"/>
                <w:sz w:val="24"/>
                <w:szCs w:val="24"/>
              </w:rPr>
              <w:lastRenderedPageBreak/>
              <w:t>муниципального района Омской области</w:t>
            </w:r>
          </w:p>
        </w:tc>
      </w:tr>
      <w:tr w:rsidR="00A410E8" w:rsidRPr="00D14A0D" w:rsidTr="00A410E8">
        <w:trPr>
          <w:trHeight w:val="328"/>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A410E8" w:rsidRPr="00D14A0D" w:rsidTr="00A410E8">
        <w:trPr>
          <w:trHeight w:val="647"/>
        </w:trPr>
        <w:tc>
          <w:tcPr>
            <w:tcW w:w="4503" w:type="dxa"/>
          </w:tcPr>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A410E8" w:rsidRPr="00D14A0D" w:rsidTr="00A410E8">
        <w:trPr>
          <w:trHeight w:val="701"/>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0A6749">
              <w:rPr>
                <w:rFonts w:ascii="Times New Roman" w:eastAsia="Calibri" w:hAnsi="Times New Roman"/>
                <w:sz w:val="24"/>
                <w:szCs w:val="24"/>
              </w:rPr>
              <w:t>804 750 250,54</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145 041 362,69</w:t>
            </w:r>
            <w:r w:rsidRPr="00651DFA">
              <w:rPr>
                <w:rFonts w:ascii="Times New Roman" w:hAnsi="Times New Roman"/>
                <w:sz w:val="24"/>
                <w:szCs w:val="24"/>
              </w:rPr>
              <w:t xml:space="preserve"> рубл</w:t>
            </w:r>
            <w:r w:rsidR="000A6749">
              <w:rPr>
                <w:rFonts w:ascii="Times New Roman" w:hAnsi="Times New Roman"/>
                <w:sz w:val="24"/>
                <w:szCs w:val="24"/>
              </w:rPr>
              <w:t>я</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0A6749">
              <w:rPr>
                <w:rFonts w:ascii="Times New Roman" w:hAnsi="Times New Roman"/>
                <w:sz w:val="24"/>
                <w:szCs w:val="24"/>
              </w:rPr>
              <w:t>121 386 340,90</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sidR="000A6749">
              <w:rPr>
                <w:rFonts w:ascii="Times New Roman" w:hAnsi="Times New Roman"/>
                <w:sz w:val="24"/>
                <w:szCs w:val="24"/>
              </w:rPr>
              <w:t>497 411 195,29</w:t>
            </w:r>
            <w:r w:rsidRPr="00651DFA">
              <w:rPr>
                <w:rFonts w:ascii="Times New Roman" w:hAnsi="Times New Roman"/>
                <w:sz w:val="24"/>
                <w:szCs w:val="24"/>
              </w:rPr>
              <w:t xml:space="preserve"> рубл</w:t>
            </w:r>
            <w:r w:rsidR="000A6749">
              <w:rPr>
                <w:rFonts w:ascii="Times New Roman" w:hAnsi="Times New Roman"/>
                <w:sz w:val="24"/>
                <w:szCs w:val="24"/>
              </w:rPr>
              <w:t>ей</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81 809 571,14</w:t>
            </w:r>
            <w:r w:rsidRPr="00651DFA">
              <w:rPr>
                <w:rFonts w:ascii="Times New Roman" w:hAnsi="Times New Roman"/>
                <w:sz w:val="24"/>
                <w:szCs w:val="24"/>
              </w:rPr>
              <w:t xml:space="preserve"> рубл</w:t>
            </w:r>
            <w:r w:rsidR="000A6749">
              <w:rPr>
                <w:rFonts w:ascii="Times New Roman" w:hAnsi="Times New Roman"/>
                <w:sz w:val="24"/>
                <w:szCs w:val="24"/>
              </w:rPr>
              <w:t>ь</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83 056 805,08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2025 год – 469,18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A410E8" w:rsidRPr="00D14A0D" w:rsidRDefault="00A410E8" w:rsidP="00A410E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A410E8" w:rsidRPr="00D14A0D" w:rsidTr="00A410E8">
        <w:trPr>
          <w:trHeight w:val="697"/>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A410E8" w:rsidRPr="00D14A0D" w:rsidRDefault="00A410E8" w:rsidP="00A410E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A410E8" w:rsidRPr="00D14A0D" w:rsidRDefault="00A410E8" w:rsidP="00A410E8">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A410E8" w:rsidRPr="00D14A0D" w:rsidRDefault="00A410E8" w:rsidP="00A410E8">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xml:space="preserve">– обеспечение открытости и доступности информации о деятельности органов </w:t>
      </w:r>
      <w:r w:rsidRPr="00D14A0D">
        <w:rPr>
          <w:rFonts w:ascii="Times New Roman" w:hAnsi="Times New Roman" w:cs="Times New Roman"/>
          <w:sz w:val="24"/>
          <w:szCs w:val="24"/>
        </w:rPr>
        <w:lastRenderedPageBreak/>
        <w:t>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A410E8" w:rsidRPr="00D14A0D" w:rsidRDefault="00A410E8" w:rsidP="00A410E8">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w:t>
      </w:r>
      <w:r w:rsidRPr="00D14A0D">
        <w:rPr>
          <w:rFonts w:ascii="Times New Roman" w:hAnsi="Times New Roman"/>
          <w:sz w:val="24"/>
          <w:szCs w:val="24"/>
        </w:rPr>
        <w:lastRenderedPageBreak/>
        <w:t>федерального и областного бюджета на реализацию инфраструктурных проектов, проектов  в социальной сфере.</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A410E8" w:rsidRPr="00D14A0D" w:rsidRDefault="00A410E8" w:rsidP="00A410E8">
      <w:pPr>
        <w:spacing w:after="0" w:line="240" w:lineRule="auto"/>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Мероприятие 3. Резервный фонд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A95DBA"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A410E8" w:rsidRPr="0015086B"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A410E8" w:rsidRPr="00A95DBA"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lastRenderedPageBreak/>
        <w:t>7. Приобретение движимого и иного имущества в муниципальную собственность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856E8"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A410E8" w:rsidRPr="001856E8"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A410E8" w:rsidRPr="00A95DBA"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0A6749" w:rsidRPr="00651DFA" w:rsidRDefault="000A6749" w:rsidP="000A6749">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804 750 250,54</w:t>
      </w:r>
      <w:r w:rsidRPr="00651DFA">
        <w:rPr>
          <w:rFonts w:ascii="Times New Roman" w:hAnsi="Times New Roman"/>
          <w:sz w:val="24"/>
          <w:szCs w:val="24"/>
        </w:rPr>
        <w:t xml:space="preserve"> рублей, в том числе по годам:</w:t>
      </w:r>
    </w:p>
    <w:p w:rsidR="000A6749" w:rsidRPr="00651DFA" w:rsidRDefault="000A6749" w:rsidP="000A6749">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0A6749" w:rsidRPr="00651DFA" w:rsidRDefault="000A6749" w:rsidP="000A6749">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121 386 340,90</w:t>
      </w:r>
      <w:r w:rsidRPr="00651DFA">
        <w:rPr>
          <w:rFonts w:ascii="Times New Roman" w:hAnsi="Times New Roman"/>
          <w:sz w:val="24"/>
          <w:szCs w:val="24"/>
        </w:rPr>
        <w:t xml:space="preserve"> рублей;</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0A6749" w:rsidRPr="00651DFA" w:rsidRDefault="000A6749" w:rsidP="000A6749">
      <w:pPr>
        <w:spacing w:after="0" w:line="240" w:lineRule="auto"/>
        <w:jc w:val="both"/>
        <w:rPr>
          <w:rFonts w:ascii="Times New Roman" w:hAnsi="Times New Roman"/>
          <w:sz w:val="24"/>
          <w:szCs w:val="24"/>
        </w:rPr>
      </w:pPr>
      <w:r w:rsidRPr="00651DFA">
        <w:rPr>
          <w:rFonts w:ascii="Times New Roman" w:hAnsi="Times New Roman"/>
          <w:sz w:val="24"/>
          <w:szCs w:val="24"/>
        </w:rPr>
        <w:lastRenderedPageBreak/>
        <w:t xml:space="preserve">Общий объем финансирования за счет налоговых и неналоговых доходов, поступлений нецелевого характера из местного  бюджета  составляет </w:t>
      </w:r>
      <w:r>
        <w:rPr>
          <w:rFonts w:ascii="Times New Roman" w:hAnsi="Times New Roman"/>
          <w:sz w:val="24"/>
          <w:szCs w:val="24"/>
        </w:rPr>
        <w:t>497 411 195,29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0A6749" w:rsidRPr="00651DFA" w:rsidRDefault="000A6749" w:rsidP="000A6749">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83 056 805,08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0A6749" w:rsidRPr="00651DFA" w:rsidRDefault="000A6749" w:rsidP="000A674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A5521" w:rsidRDefault="00A410E8" w:rsidP="00A410E8">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A410E8"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A410E8" w:rsidRDefault="00A410E8" w:rsidP="00A410E8">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A410E8" w:rsidRDefault="00A410E8" w:rsidP="00A410E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F913B1" w:rsidRDefault="00A410E8" w:rsidP="00A410E8">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A410E8" w:rsidRPr="00A95DBA"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A410E8" w:rsidRPr="00DA26D6" w:rsidRDefault="00A410E8" w:rsidP="00A410E8">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A410E8" w:rsidRPr="00A95DBA" w:rsidRDefault="00A410E8" w:rsidP="00A410E8">
      <w:pPr>
        <w:spacing w:after="0" w:line="240" w:lineRule="auto"/>
        <w:jc w:val="both"/>
        <w:rPr>
          <w:rFonts w:ascii="Times New Roman" w:hAnsi="Times New Roman"/>
          <w:sz w:val="24"/>
          <w:szCs w:val="24"/>
        </w:rPr>
      </w:pPr>
    </w:p>
    <w:p w:rsidR="00A410E8" w:rsidRPr="002F48D5" w:rsidRDefault="00A410E8" w:rsidP="00A410E8">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A410E8" w:rsidRPr="002F48D5" w:rsidRDefault="00A410E8" w:rsidP="00A410E8">
      <w:pPr>
        <w:spacing w:after="0" w:line="240" w:lineRule="auto"/>
        <w:ind w:firstLine="709"/>
        <w:jc w:val="center"/>
        <w:rPr>
          <w:rFonts w:ascii="Times New Roman" w:hAnsi="Times New Roman"/>
          <w:sz w:val="24"/>
          <w:szCs w:val="24"/>
        </w:rPr>
      </w:pPr>
    </w:p>
    <w:p w:rsidR="00A410E8" w:rsidRPr="003C124A" w:rsidRDefault="00A410E8" w:rsidP="00A410E8">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23216D" w:rsidRPr="003C124A" w:rsidRDefault="0023216D" w:rsidP="0023216D">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3216D" w:rsidRPr="003C124A" w:rsidRDefault="0023216D" w:rsidP="0023216D">
      <w:pPr>
        <w:autoSpaceDE w:val="0"/>
        <w:autoSpaceDN w:val="0"/>
        <w:adjustRightInd w:val="0"/>
        <w:spacing w:after="0"/>
        <w:jc w:val="right"/>
        <w:rPr>
          <w:rFonts w:ascii="Times New Roman" w:hAnsi="Times New Roman"/>
          <w:sz w:val="24"/>
          <w:szCs w:val="24"/>
        </w:rPr>
      </w:pPr>
    </w:p>
    <w:p w:rsidR="0023216D" w:rsidRPr="003C124A" w:rsidRDefault="0023216D" w:rsidP="0023216D">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23216D" w:rsidRPr="003C124A" w:rsidRDefault="0023216D" w:rsidP="0023216D">
      <w:pPr>
        <w:pStyle w:val="ConsPlusNonformat"/>
        <w:jc w:val="center"/>
        <w:rPr>
          <w:rFonts w:ascii="Times New Roman" w:hAnsi="Times New Roman" w:cs="Times New Roman"/>
          <w:sz w:val="24"/>
          <w:szCs w:val="24"/>
        </w:rPr>
      </w:pPr>
    </w:p>
    <w:p w:rsidR="0023216D" w:rsidRPr="003C124A" w:rsidRDefault="0023216D" w:rsidP="0023216D">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3216D" w:rsidRPr="003C124A" w:rsidRDefault="0023216D" w:rsidP="0023216D">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23216D" w:rsidRPr="003C124A" w:rsidTr="00D663FA">
        <w:tc>
          <w:tcPr>
            <w:tcW w:w="5328" w:type="dxa"/>
            <w:vAlign w:val="center"/>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23216D" w:rsidRPr="003C124A" w:rsidRDefault="0023216D" w:rsidP="00D663FA">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3216D" w:rsidRPr="003C124A" w:rsidTr="00D663FA">
        <w:tc>
          <w:tcPr>
            <w:tcW w:w="5328" w:type="dxa"/>
            <w:vAlign w:val="center"/>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23216D" w:rsidRPr="003C124A" w:rsidRDefault="0023216D" w:rsidP="00D663FA">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23216D" w:rsidRPr="003C124A" w:rsidTr="00D663FA">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23216D" w:rsidRPr="003C124A" w:rsidRDefault="0023216D" w:rsidP="00D663FA">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23216D" w:rsidRPr="003C124A" w:rsidTr="00D663FA">
        <w:tc>
          <w:tcPr>
            <w:tcW w:w="5328"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23216D" w:rsidRPr="003C124A" w:rsidRDefault="0023216D" w:rsidP="00D663FA">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23216D" w:rsidRPr="003C124A" w:rsidTr="00D663FA">
        <w:tc>
          <w:tcPr>
            <w:tcW w:w="5328"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23216D" w:rsidRPr="003C124A" w:rsidRDefault="0023216D" w:rsidP="00D663FA">
            <w:pPr>
              <w:pStyle w:val="ConsPlusCell"/>
              <w:jc w:val="both"/>
              <w:rPr>
                <w:sz w:val="24"/>
                <w:szCs w:val="24"/>
              </w:rPr>
            </w:pPr>
            <w:r w:rsidRPr="003C124A">
              <w:rPr>
                <w:sz w:val="24"/>
                <w:szCs w:val="24"/>
              </w:rPr>
              <w:t>2022 – 2030 годы</w:t>
            </w:r>
          </w:p>
        </w:tc>
      </w:tr>
      <w:tr w:rsidR="0023216D" w:rsidRPr="003C124A" w:rsidTr="00D663FA">
        <w:trPr>
          <w:trHeight w:val="401"/>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23216D" w:rsidRPr="003C124A" w:rsidTr="00D663FA">
        <w:trPr>
          <w:trHeight w:val="328"/>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23216D" w:rsidRPr="003C124A" w:rsidTr="00D663FA">
        <w:trPr>
          <w:trHeight w:val="3605"/>
        </w:trPr>
        <w:tc>
          <w:tcPr>
            <w:tcW w:w="5328"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500" w:type="dxa"/>
            <w:tcBorders>
              <w:top w:val="single" w:sz="4" w:space="0" w:color="auto"/>
            </w:tcBorders>
          </w:tcPr>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23216D" w:rsidRPr="003C124A" w:rsidTr="00D663FA">
        <w:trPr>
          <w:trHeight w:val="701"/>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0A6749">
              <w:rPr>
                <w:rFonts w:ascii="Times New Roman" w:hAnsi="Times New Roman"/>
                <w:sz w:val="24"/>
                <w:szCs w:val="24"/>
              </w:rPr>
              <w:t>62 521 790,82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2023 год – </w:t>
            </w:r>
            <w:r w:rsidR="000A6749">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lastRenderedPageBreak/>
              <w:t xml:space="preserve">2024 год – </w:t>
            </w:r>
            <w:r w:rsidR="000A6749">
              <w:rPr>
                <w:rFonts w:ascii="Times New Roman" w:hAnsi="Times New Roman"/>
                <w:sz w:val="24"/>
                <w:szCs w:val="24"/>
              </w:rPr>
              <w:t>8 644 402,60</w:t>
            </w:r>
            <w:r w:rsidRPr="003D53BE">
              <w:rPr>
                <w:rFonts w:ascii="Times New Roman" w:hAnsi="Times New Roman"/>
                <w:sz w:val="24"/>
                <w:szCs w:val="24"/>
              </w:rPr>
              <w:t xml:space="preserve"> рубл</w:t>
            </w:r>
            <w:r w:rsidR="000A6749">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20 179 418,76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2023 год – </w:t>
            </w:r>
            <w:r w:rsidR="002D35B0">
              <w:rPr>
                <w:rFonts w:ascii="Times New Roman" w:hAnsi="Times New Roman"/>
                <w:sz w:val="24"/>
                <w:szCs w:val="24"/>
              </w:rPr>
              <w:t>5 904 314,07</w:t>
            </w:r>
            <w:r w:rsidRPr="003D53BE">
              <w:rPr>
                <w:rFonts w:ascii="Times New Roman" w:hAnsi="Times New Roman"/>
                <w:sz w:val="24"/>
                <w:szCs w:val="24"/>
              </w:rPr>
              <w:t xml:space="preserve"> рубл</w:t>
            </w:r>
            <w:r w:rsidR="002D35B0">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2D35B0">
              <w:rPr>
                <w:rFonts w:ascii="Times New Roman" w:hAnsi="Times New Roman"/>
                <w:sz w:val="24"/>
                <w:szCs w:val="24"/>
              </w:rPr>
              <w:t xml:space="preserve">8 644 402,60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3216D" w:rsidRDefault="0023216D" w:rsidP="00D663FA">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23216D" w:rsidRPr="003C124A" w:rsidTr="00D663FA">
        <w:trPr>
          <w:trHeight w:val="697"/>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w:t>
            </w:r>
            <w:r w:rsidRPr="003C124A">
              <w:rPr>
                <w:rFonts w:ascii="Times New Roman" w:hAnsi="Times New Roman"/>
                <w:sz w:val="24"/>
                <w:szCs w:val="24"/>
              </w:rPr>
              <w:lastRenderedPageBreak/>
              <w:t xml:space="preserve">реализации) </w:t>
            </w:r>
          </w:p>
        </w:tc>
        <w:tc>
          <w:tcPr>
            <w:tcW w:w="4500"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1. Обеспечение ввода в эксплуатацию жилья на территории Муромцевского </w:t>
            </w:r>
            <w:r w:rsidRPr="003C124A">
              <w:rPr>
                <w:rFonts w:ascii="Times New Roman" w:hAnsi="Times New Roman"/>
                <w:sz w:val="24"/>
                <w:szCs w:val="24"/>
              </w:rPr>
              <w:lastRenderedPageBreak/>
              <w:t>района в период с 2022 по 2030 годы не менее 40 тыс.кв.м.</w:t>
            </w:r>
          </w:p>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23216D" w:rsidRPr="003C124A" w:rsidRDefault="0023216D" w:rsidP="0023216D">
      <w:pPr>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3216D" w:rsidRPr="003C124A" w:rsidRDefault="0023216D" w:rsidP="0023216D">
      <w:pPr>
        <w:autoSpaceDE w:val="0"/>
        <w:autoSpaceDN w:val="0"/>
        <w:adjustRightInd w:val="0"/>
        <w:spacing w:after="0"/>
        <w:jc w:val="both"/>
        <w:rPr>
          <w:rFonts w:ascii="Times New Roman" w:hAnsi="Times New Roman"/>
          <w:sz w:val="24"/>
          <w:szCs w:val="24"/>
          <w:highlight w:val="yellow"/>
        </w:rPr>
      </w:pP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23216D" w:rsidRPr="003C124A" w:rsidRDefault="0023216D" w:rsidP="0023216D">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w:t>
      </w:r>
      <w:r w:rsidRPr="003C124A">
        <w:rPr>
          <w:rFonts w:ascii="Times New Roman" w:hAnsi="Times New Roman"/>
          <w:sz w:val="24"/>
          <w:szCs w:val="24"/>
        </w:rPr>
        <w:lastRenderedPageBreak/>
        <w:t>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w:t>
      </w:r>
      <w:r w:rsidRPr="003C124A">
        <w:rPr>
          <w:rFonts w:ascii="Times New Roman" w:hAnsi="Times New Roman"/>
          <w:sz w:val="24"/>
          <w:szCs w:val="24"/>
        </w:rPr>
        <w:lastRenderedPageBreak/>
        <w:t>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23216D" w:rsidRPr="003C124A" w:rsidRDefault="0023216D" w:rsidP="0023216D">
      <w:pPr>
        <w:spacing w:after="0"/>
        <w:jc w:val="both"/>
        <w:rPr>
          <w:rFonts w:ascii="Times New Roman" w:hAnsi="Times New Roman"/>
          <w:sz w:val="24"/>
          <w:szCs w:val="24"/>
        </w:rPr>
      </w:pPr>
    </w:p>
    <w:p w:rsidR="0023216D" w:rsidRPr="003C124A" w:rsidRDefault="0023216D" w:rsidP="0023216D">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3216D" w:rsidRPr="003C124A" w:rsidRDefault="0023216D" w:rsidP="0023216D">
      <w:pPr>
        <w:widowControl w:val="0"/>
        <w:autoSpaceDE w:val="0"/>
        <w:autoSpaceDN w:val="0"/>
        <w:adjustRightInd w:val="0"/>
        <w:spacing w:after="0"/>
        <w:jc w:val="both"/>
        <w:outlineLvl w:val="1"/>
        <w:rPr>
          <w:rFonts w:ascii="Times New Roman" w:hAnsi="Times New Roman"/>
          <w:sz w:val="24"/>
          <w:szCs w:val="24"/>
        </w:rPr>
      </w:pP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23216D" w:rsidRPr="003C124A" w:rsidRDefault="0023216D" w:rsidP="0023216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23216D" w:rsidRPr="003C124A" w:rsidRDefault="0023216D" w:rsidP="0023216D">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23216D" w:rsidRPr="003C124A" w:rsidRDefault="0023216D" w:rsidP="0023216D">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23216D" w:rsidRPr="003C124A" w:rsidRDefault="0023216D" w:rsidP="0023216D">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23216D" w:rsidRPr="003C124A" w:rsidRDefault="0023216D" w:rsidP="0023216D">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w:t>
      </w:r>
      <w:r w:rsidRPr="00DC1A74">
        <w:rPr>
          <w:rFonts w:ascii="Times New Roman" w:hAnsi="Times New Roman"/>
          <w:sz w:val="24"/>
          <w:szCs w:val="24"/>
        </w:rPr>
        <w:lastRenderedPageBreak/>
        <w:t xml:space="preserve">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23216D" w:rsidRPr="00A97C8C"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23216D" w:rsidRPr="001B7CF2" w:rsidRDefault="0023216D" w:rsidP="0023216D">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23216D" w:rsidRPr="00E04E76" w:rsidRDefault="0023216D" w:rsidP="0023216D">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здания-котельная</w:t>
      </w:r>
      <w:proofErr w:type="spellEnd"/>
      <w:r w:rsidRPr="002D35B0">
        <w:rPr>
          <w:rFonts w:ascii="Times New Roman" w:hAnsi="Times New Roman"/>
          <w:sz w:val="24"/>
          <w:szCs w:val="24"/>
        </w:rPr>
        <w:t xml:space="preserve">, расположенного по адресу: Омская область, р-н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 с. Ушаково, ул. Школьная, д. 12.</w:t>
      </w:r>
    </w:p>
    <w:p w:rsidR="0023216D" w:rsidRPr="00E04E76" w:rsidRDefault="0023216D" w:rsidP="0023216D">
      <w:pPr>
        <w:widowControl w:val="0"/>
        <w:autoSpaceDE w:val="0"/>
        <w:autoSpaceDN w:val="0"/>
        <w:adjustRightInd w:val="0"/>
        <w:spacing w:after="0"/>
        <w:ind w:firstLine="708"/>
        <w:jc w:val="both"/>
        <w:rPr>
          <w:rFonts w:ascii="Times New Roman" w:hAnsi="Times New Roman"/>
          <w:sz w:val="24"/>
          <w:szCs w:val="24"/>
        </w:rPr>
      </w:pPr>
      <w:r w:rsidRPr="002D35B0">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r w:rsidRPr="00E04E76">
        <w:rPr>
          <w:rFonts w:ascii="Times New Roman" w:hAnsi="Times New Roman"/>
          <w:sz w:val="24"/>
          <w:szCs w:val="24"/>
        </w:rPr>
        <w:t>:</w:t>
      </w:r>
    </w:p>
    <w:p w:rsidR="0023216D" w:rsidRPr="00DC1A74" w:rsidRDefault="0023216D" w:rsidP="0023216D">
      <w:pPr>
        <w:spacing w:after="0"/>
        <w:jc w:val="both"/>
        <w:rPr>
          <w:rFonts w:ascii="Times New Roman" w:hAnsi="Times New Roman"/>
          <w:sz w:val="24"/>
          <w:szCs w:val="24"/>
        </w:rPr>
      </w:pPr>
      <w:r w:rsidRPr="00E04E76">
        <w:rPr>
          <w:rFonts w:ascii="Times New Roman" w:hAnsi="Times New Roman"/>
          <w:sz w:val="24"/>
          <w:szCs w:val="24"/>
        </w:rPr>
        <w:lastRenderedPageBreak/>
        <w:t>-  обеспечение мероприятий по переселению граждан из аварийного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23216D" w:rsidRPr="006442AA" w:rsidRDefault="0023216D" w:rsidP="0023216D">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23216D" w:rsidRPr="003C124A" w:rsidRDefault="0023216D" w:rsidP="0023216D">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62 521 790,82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8 644 402,60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20 179 418,76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8 644 402,60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D35B0" w:rsidRPr="003D53BE" w:rsidRDefault="002D35B0" w:rsidP="002D35B0">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2D35B0">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3216D" w:rsidRDefault="0023216D" w:rsidP="0023216D">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23216D" w:rsidRPr="003C124A" w:rsidRDefault="0023216D" w:rsidP="0023216D">
      <w:pPr>
        <w:tabs>
          <w:tab w:val="left" w:pos="0"/>
        </w:tabs>
        <w:spacing w:after="0"/>
        <w:jc w:val="both"/>
        <w:rPr>
          <w:rFonts w:ascii="Times New Roman" w:hAnsi="Times New Roman"/>
          <w:sz w:val="24"/>
          <w:szCs w:val="24"/>
        </w:rPr>
      </w:pPr>
      <w:r w:rsidRPr="003C124A">
        <w:rPr>
          <w:rFonts w:ascii="Times New Roman" w:hAnsi="Times New Roman"/>
          <w:sz w:val="24"/>
          <w:szCs w:val="24"/>
        </w:rPr>
        <w:lastRenderedPageBreak/>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23216D" w:rsidRPr="003C124A" w:rsidRDefault="0023216D" w:rsidP="0023216D">
      <w:pPr>
        <w:tabs>
          <w:tab w:val="left" w:pos="567"/>
          <w:tab w:val="left" w:pos="993"/>
        </w:tabs>
        <w:spacing w:after="0"/>
        <w:jc w:val="both"/>
        <w:rPr>
          <w:rFonts w:ascii="Times New Roman" w:hAnsi="Times New Roman"/>
          <w:sz w:val="24"/>
          <w:szCs w:val="24"/>
        </w:rPr>
      </w:pPr>
    </w:p>
    <w:p w:rsidR="0023216D" w:rsidRPr="003C124A" w:rsidRDefault="0023216D" w:rsidP="0023216D">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3216D" w:rsidRPr="003C124A" w:rsidRDefault="0023216D" w:rsidP="0023216D">
      <w:pPr>
        <w:tabs>
          <w:tab w:val="left" w:pos="567"/>
          <w:tab w:val="left" w:pos="993"/>
        </w:tabs>
        <w:spacing w:after="0"/>
        <w:jc w:val="center"/>
        <w:rPr>
          <w:rFonts w:ascii="Times New Roman" w:hAnsi="Times New Roman"/>
          <w:sz w:val="24"/>
          <w:szCs w:val="24"/>
        </w:rPr>
      </w:pPr>
    </w:p>
    <w:p w:rsidR="0023216D" w:rsidRPr="003C124A" w:rsidRDefault="0023216D" w:rsidP="0023216D">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23216D" w:rsidRPr="003C124A" w:rsidRDefault="0023216D" w:rsidP="0023216D">
      <w:pPr>
        <w:widowControl w:val="0"/>
        <w:autoSpaceDE w:val="0"/>
        <w:autoSpaceDN w:val="0"/>
        <w:adjustRightInd w:val="0"/>
        <w:spacing w:after="0"/>
        <w:jc w:val="both"/>
        <w:outlineLvl w:val="3"/>
        <w:rPr>
          <w:rFonts w:ascii="Times New Roman" w:hAnsi="Times New Roman"/>
          <w:sz w:val="24"/>
          <w:szCs w:val="24"/>
        </w:rPr>
      </w:pP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3216D" w:rsidRPr="003C124A" w:rsidRDefault="0023216D" w:rsidP="0023216D">
      <w:pPr>
        <w:autoSpaceDE w:val="0"/>
        <w:autoSpaceDN w:val="0"/>
        <w:adjustRightInd w:val="0"/>
        <w:spacing w:after="0"/>
        <w:ind w:firstLine="709"/>
        <w:jc w:val="center"/>
        <w:rPr>
          <w:rFonts w:ascii="Times New Roman" w:hAnsi="Times New Roman"/>
          <w:sz w:val="24"/>
          <w:szCs w:val="24"/>
        </w:rPr>
      </w:pPr>
    </w:p>
    <w:p w:rsidR="0023216D" w:rsidRPr="003C124A" w:rsidRDefault="0023216D" w:rsidP="0023216D">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3216D" w:rsidRPr="003C124A" w:rsidRDefault="0023216D" w:rsidP="0023216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w:t>
            </w:r>
            <w:r w:rsidRPr="003C124A">
              <w:rPr>
                <w:rFonts w:ascii="Times New Roman" w:hAnsi="Times New Roman"/>
                <w:sz w:val="24"/>
                <w:szCs w:val="24"/>
              </w:rPr>
              <w:lastRenderedPageBreak/>
              <w:t>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lastRenderedPageBreak/>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lastRenderedPageBreak/>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47 885 853,11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2023 год – </w:t>
            </w:r>
            <w:r w:rsidR="002D35B0">
              <w:rPr>
                <w:rFonts w:ascii="Times New Roman" w:hAnsi="Times New Roman"/>
                <w:sz w:val="24"/>
                <w:szCs w:val="24"/>
              </w:rPr>
              <w:t>5 609 343,01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42 572 963,69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4 898 424,90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lastRenderedPageBreak/>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 субсидии на возмещение части затрат на переподготовку и повышение квалификации организациям, индивидуальным предпринимателям, осуществляющим </w:t>
      </w:r>
      <w:r w:rsidRPr="003C124A">
        <w:rPr>
          <w:rFonts w:ascii="Times New Roman" w:hAnsi="Times New Roman"/>
          <w:sz w:val="24"/>
          <w:szCs w:val="24"/>
        </w:rPr>
        <w:lastRenderedPageBreak/>
        <w:t>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lastRenderedPageBreak/>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47 885 853,11</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5 609 343,01</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42 572 963,69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4 898 424,90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lastRenderedPageBreak/>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«Развитие экономического потенциала Муромцевского муниципального района  Омской области» (далее – </w:t>
            </w:r>
            <w:r w:rsidRPr="005B5C37">
              <w:rPr>
                <w:rFonts w:ascii="Times New Roman" w:hAnsi="Times New Roman"/>
                <w:sz w:val="24"/>
                <w:szCs w:val="24"/>
              </w:rPr>
              <w:lastRenderedPageBreak/>
              <w:t>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lastRenderedPageBreak/>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31 783 397,94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5086B">
              <w:rPr>
                <w:rFonts w:ascii="Times New Roman" w:hAnsi="Times New Roman"/>
                <w:sz w:val="24"/>
                <w:szCs w:val="24"/>
              </w:rPr>
              <w:t xml:space="preserve">32 815 </w:t>
            </w:r>
            <w:r w:rsidR="002D35B0">
              <w:rPr>
                <w:rFonts w:ascii="Times New Roman" w:hAnsi="Times New Roman"/>
                <w:sz w:val="24"/>
                <w:szCs w:val="24"/>
              </w:rPr>
              <w:t>427,69</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21 422 688,04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Источниками финансирования </w:t>
            </w:r>
            <w:r w:rsidRPr="005B5C37">
              <w:rPr>
                <w:rFonts w:ascii="Times New Roman" w:hAnsi="Times New Roman"/>
                <w:sz w:val="24"/>
                <w:szCs w:val="24"/>
              </w:rPr>
              <w:lastRenderedPageBreak/>
              <w:t>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lastRenderedPageBreak/>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lastRenderedPageBreak/>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Муромцевского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2D35B0" w:rsidRPr="005B5C37" w:rsidRDefault="00C6540B" w:rsidP="002D35B0">
      <w:pPr>
        <w:spacing w:after="0"/>
        <w:jc w:val="both"/>
        <w:rPr>
          <w:rFonts w:ascii="Times New Roman" w:hAnsi="Times New Roman"/>
          <w:sz w:val="24"/>
          <w:szCs w:val="24"/>
        </w:rPr>
      </w:pPr>
      <w:r w:rsidRPr="005B5C37">
        <w:rPr>
          <w:rFonts w:ascii="Times New Roman" w:hAnsi="Times New Roman"/>
          <w:sz w:val="24"/>
          <w:szCs w:val="24"/>
        </w:rPr>
        <w:tab/>
      </w:r>
      <w:r w:rsidR="002D35B0"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002D35B0"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31 783 397,94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lastRenderedPageBreak/>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32 815 427,69</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21 422 688,04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3C124A"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–0,00 рублей.</w:t>
      </w:r>
      <w:r w:rsidR="00C6540B"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w:t>
            </w:r>
            <w:r w:rsidRPr="003C124A">
              <w:rPr>
                <w:rFonts w:ascii="Times New Roman" w:hAnsi="Times New Roman"/>
                <w:sz w:val="24"/>
                <w:szCs w:val="24"/>
              </w:rPr>
              <w:lastRenderedPageBreak/>
              <w:t xml:space="preserve">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lastRenderedPageBreak/>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lastRenderedPageBreak/>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lastRenderedPageBreak/>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lastRenderedPageBreak/>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lastRenderedPageBreak/>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lastRenderedPageBreak/>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lastRenderedPageBreak/>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w:t>
      </w:r>
      <w:r w:rsidRPr="003C124A">
        <w:rPr>
          <w:rFonts w:ascii="Times New Roman" w:hAnsi="Times New Roman"/>
          <w:sz w:val="24"/>
          <w:szCs w:val="24"/>
        </w:rPr>
        <w:lastRenderedPageBreak/>
        <w:t xml:space="preserve">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3C124A" w:rsidRDefault="00D61822" w:rsidP="00D61822">
      <w:pPr>
        <w:spacing w:after="0"/>
        <w:ind w:firstLine="709"/>
        <w:jc w:val="both"/>
        <w:rPr>
          <w:rFonts w:ascii="Times New Roman" w:hAnsi="Times New Roman"/>
          <w:sz w:val="24"/>
          <w:szCs w:val="24"/>
        </w:rPr>
      </w:pPr>
      <w:r w:rsidRPr="0063716B">
        <w:rPr>
          <w:rFonts w:ascii="Times New Roman" w:hAnsi="Times New Roman"/>
          <w:color w:val="FF0000"/>
          <w:sz w:val="24"/>
          <w:szCs w:val="24"/>
        </w:rPr>
        <w:lastRenderedPageBreak/>
        <w:t>Отчет о достижении результата предоставления гранта</w:t>
      </w:r>
      <w:r>
        <w:rPr>
          <w:rFonts w:ascii="Times New Roman" w:hAnsi="Times New Roman"/>
          <w:color w:val="FF0000"/>
          <w:sz w:val="24"/>
          <w:szCs w:val="24"/>
        </w:rPr>
        <w:t xml:space="preserve"> </w:t>
      </w:r>
      <w:r w:rsidRPr="0063716B">
        <w:rPr>
          <w:rFonts w:ascii="Times New Roman" w:hAnsi="Times New Roman"/>
          <w:color w:val="FF0000"/>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lastRenderedPageBreak/>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w:t>
            </w:r>
            <w:r w:rsidRPr="003C124A">
              <w:rPr>
                <w:i w:val="0"/>
                <w:szCs w:val="24"/>
              </w:rPr>
              <w:lastRenderedPageBreak/>
              <w:t>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lastRenderedPageBreak/>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lastRenderedPageBreak/>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w:t>
            </w:r>
            <w:r w:rsidRPr="003C124A">
              <w:rPr>
                <w:rFonts w:ascii="Times New Roman" w:hAnsi="Times New Roman"/>
                <w:sz w:val="24"/>
                <w:szCs w:val="24"/>
              </w:rPr>
              <w:lastRenderedPageBreak/>
              <w:t>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Default="00D61822" w:rsidP="003D5913">
            <w:pPr>
              <w:spacing w:after="0"/>
              <w:jc w:val="both"/>
              <w:rPr>
                <w:rFonts w:ascii="Times New Roman" w:hAnsi="Times New Roman"/>
                <w:color w:val="FF0000"/>
                <w:sz w:val="24"/>
                <w:szCs w:val="24"/>
              </w:rPr>
            </w:pPr>
            <w:r w:rsidRPr="0063716B">
              <w:rPr>
                <w:rFonts w:ascii="Times New Roman" w:hAnsi="Times New Roman"/>
                <w:color w:val="FF0000"/>
                <w:sz w:val="24"/>
                <w:szCs w:val="24"/>
              </w:rPr>
              <w:t>4.6</w:t>
            </w:r>
            <w:r>
              <w:rPr>
                <w:rFonts w:ascii="Times New Roman" w:hAnsi="Times New Roman"/>
                <w:sz w:val="24"/>
                <w:szCs w:val="24"/>
              </w:rPr>
              <w:t xml:space="preserve">. </w:t>
            </w:r>
            <w:r w:rsidRPr="0063716B">
              <w:rPr>
                <w:rFonts w:ascii="Times New Roman" w:hAnsi="Times New Roman"/>
                <w:color w:val="FF0000"/>
                <w:sz w:val="24"/>
                <w:szCs w:val="24"/>
              </w:rPr>
              <w:t>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63716B" w:rsidRDefault="00D61822" w:rsidP="003D5913">
            <w:pPr>
              <w:spacing w:after="0"/>
              <w:jc w:val="both"/>
              <w:rPr>
                <w:rFonts w:ascii="Times New Roman" w:hAnsi="Times New Roman"/>
                <w:color w:val="FF0000"/>
                <w:sz w:val="24"/>
                <w:szCs w:val="24"/>
              </w:rPr>
            </w:pPr>
            <w:r>
              <w:rPr>
                <w:rFonts w:ascii="Times New Roman" w:hAnsi="Times New Roman"/>
                <w:color w:val="FF0000"/>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6.1. Соглашение вступает в силу с момента подписания его сторонами и действует до </w:t>
            </w:r>
            <w:r w:rsidRPr="003C124A">
              <w:rPr>
                <w:rFonts w:ascii="Times New Roman" w:hAnsi="Times New Roman"/>
                <w:sz w:val="24"/>
                <w:szCs w:val="24"/>
              </w:rPr>
              <w:lastRenderedPageBreak/>
              <w:t>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lastRenderedPageBreak/>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w:t>
      </w:r>
      <w:r w:rsidRPr="003C124A">
        <w:rPr>
          <w:b w:val="0"/>
        </w:rPr>
        <w:lastRenderedPageBreak/>
        <w:t xml:space="preserve">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lastRenderedPageBreak/>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7AF4"/>
    <w:rsid w:val="0002413D"/>
    <w:rsid w:val="00026B51"/>
    <w:rsid w:val="0003105E"/>
    <w:rsid w:val="00081BB2"/>
    <w:rsid w:val="00082A78"/>
    <w:rsid w:val="00084856"/>
    <w:rsid w:val="000A0E1D"/>
    <w:rsid w:val="000A2295"/>
    <w:rsid w:val="000A4567"/>
    <w:rsid w:val="000A6749"/>
    <w:rsid w:val="000B736F"/>
    <w:rsid w:val="000E348C"/>
    <w:rsid w:val="000E415E"/>
    <w:rsid w:val="000F1590"/>
    <w:rsid w:val="000F5779"/>
    <w:rsid w:val="00113BF4"/>
    <w:rsid w:val="00114EFC"/>
    <w:rsid w:val="00116380"/>
    <w:rsid w:val="00116B10"/>
    <w:rsid w:val="001254E3"/>
    <w:rsid w:val="00125544"/>
    <w:rsid w:val="00131912"/>
    <w:rsid w:val="0015086B"/>
    <w:rsid w:val="00156C6E"/>
    <w:rsid w:val="00164FB4"/>
    <w:rsid w:val="00185FCC"/>
    <w:rsid w:val="001877B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74C7"/>
    <w:rsid w:val="002975AE"/>
    <w:rsid w:val="002B7F4C"/>
    <w:rsid w:val="002D24A8"/>
    <w:rsid w:val="002D35B0"/>
    <w:rsid w:val="002E0904"/>
    <w:rsid w:val="002E5FA4"/>
    <w:rsid w:val="002F48D5"/>
    <w:rsid w:val="002F5600"/>
    <w:rsid w:val="00300124"/>
    <w:rsid w:val="00301B1F"/>
    <w:rsid w:val="00306508"/>
    <w:rsid w:val="00322550"/>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F1E2E"/>
    <w:rsid w:val="004F5BEE"/>
    <w:rsid w:val="00504565"/>
    <w:rsid w:val="00510C63"/>
    <w:rsid w:val="005110FB"/>
    <w:rsid w:val="005276A2"/>
    <w:rsid w:val="0053013C"/>
    <w:rsid w:val="00536958"/>
    <w:rsid w:val="00556D2D"/>
    <w:rsid w:val="00561334"/>
    <w:rsid w:val="00566611"/>
    <w:rsid w:val="005958C2"/>
    <w:rsid w:val="005A00D0"/>
    <w:rsid w:val="005B5C37"/>
    <w:rsid w:val="005D7935"/>
    <w:rsid w:val="005E0A45"/>
    <w:rsid w:val="005E1FEC"/>
    <w:rsid w:val="005F1A64"/>
    <w:rsid w:val="005F2614"/>
    <w:rsid w:val="005F29A4"/>
    <w:rsid w:val="006017DD"/>
    <w:rsid w:val="00603A66"/>
    <w:rsid w:val="00611ED6"/>
    <w:rsid w:val="006223F6"/>
    <w:rsid w:val="0062600B"/>
    <w:rsid w:val="00626DF2"/>
    <w:rsid w:val="00637F00"/>
    <w:rsid w:val="00651DD5"/>
    <w:rsid w:val="00651DFA"/>
    <w:rsid w:val="00657218"/>
    <w:rsid w:val="00663BDB"/>
    <w:rsid w:val="0067028D"/>
    <w:rsid w:val="00671528"/>
    <w:rsid w:val="00691073"/>
    <w:rsid w:val="00694E4B"/>
    <w:rsid w:val="0069630E"/>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D0531"/>
    <w:rsid w:val="007D0F79"/>
    <w:rsid w:val="007D3370"/>
    <w:rsid w:val="007F4A9F"/>
    <w:rsid w:val="007F6A78"/>
    <w:rsid w:val="00821C87"/>
    <w:rsid w:val="0084234E"/>
    <w:rsid w:val="008433F3"/>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6689"/>
    <w:rsid w:val="00956220"/>
    <w:rsid w:val="00965806"/>
    <w:rsid w:val="00972EC8"/>
    <w:rsid w:val="00984BDA"/>
    <w:rsid w:val="00995666"/>
    <w:rsid w:val="009A43F3"/>
    <w:rsid w:val="009A5DEC"/>
    <w:rsid w:val="009D1B33"/>
    <w:rsid w:val="009D650C"/>
    <w:rsid w:val="00A00E18"/>
    <w:rsid w:val="00A03BFC"/>
    <w:rsid w:val="00A048D6"/>
    <w:rsid w:val="00A100C6"/>
    <w:rsid w:val="00A11F07"/>
    <w:rsid w:val="00A129BE"/>
    <w:rsid w:val="00A20055"/>
    <w:rsid w:val="00A24B86"/>
    <w:rsid w:val="00A3642F"/>
    <w:rsid w:val="00A3713F"/>
    <w:rsid w:val="00A410E8"/>
    <w:rsid w:val="00A63E83"/>
    <w:rsid w:val="00A66744"/>
    <w:rsid w:val="00A828BD"/>
    <w:rsid w:val="00A82910"/>
    <w:rsid w:val="00AA41BC"/>
    <w:rsid w:val="00AA560A"/>
    <w:rsid w:val="00AB08C5"/>
    <w:rsid w:val="00AB527F"/>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47C8"/>
    <w:rsid w:val="00D359C0"/>
    <w:rsid w:val="00D43B62"/>
    <w:rsid w:val="00D51961"/>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72AEE"/>
    <w:rsid w:val="00F75B78"/>
    <w:rsid w:val="00F81C62"/>
    <w:rsid w:val="00FA03D5"/>
    <w:rsid w:val="00FA537D"/>
    <w:rsid w:val="00FA5636"/>
    <w:rsid w:val="00FC3BED"/>
    <w:rsid w:val="00FD2F11"/>
    <w:rsid w:val="00FE0AF6"/>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A9CB1-8873-4263-8D5D-29A88A91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66</TotalTime>
  <Pages>83</Pages>
  <Words>31964</Words>
  <Characters>182198</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213735</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4</cp:revision>
  <cp:lastPrinted>2013-07-18T06:14:00Z</cp:lastPrinted>
  <dcterms:created xsi:type="dcterms:W3CDTF">2024-02-01T11:37:00Z</dcterms:created>
  <dcterms:modified xsi:type="dcterms:W3CDTF">2024-02-02T09:58:00Z</dcterms:modified>
</cp:coreProperties>
</file>