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 к постановлению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района Омской области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 09.12.2024 № 373-п</w:t>
      </w:r>
    </w:p>
    <w:p w:rsidR="0054011E" w:rsidRDefault="0054011E" w:rsidP="0054011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Подпрограмма «</w:t>
      </w:r>
      <w:bookmarkStart w:id="0" w:name="_GoBack"/>
      <w:r w:rsidRPr="005B5C37">
        <w:rPr>
          <w:rFonts w:ascii="Times New Roman" w:hAnsi="Times New Roman" w:cs="Times New Roman"/>
          <w:sz w:val="24"/>
          <w:szCs w:val="24"/>
        </w:rPr>
        <w:t xml:space="preserve">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bookmarkEnd w:id="0"/>
      <w:r w:rsidRPr="005B5C37">
        <w:rPr>
          <w:rFonts w:ascii="Times New Roman" w:hAnsi="Times New Roman" w:cs="Times New Roman"/>
          <w:sz w:val="24"/>
          <w:szCs w:val="24"/>
        </w:rPr>
        <w:t>»</w:t>
      </w:r>
    </w:p>
    <w:p w:rsidR="0054011E" w:rsidRPr="005B5C37" w:rsidRDefault="0054011E" w:rsidP="0054011E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8"/>
        <w:gridCol w:w="4500"/>
      </w:tblGrid>
      <w:tr w:rsidR="0054011E" w:rsidRPr="005B5C37" w:rsidTr="006D30FD">
        <w:tc>
          <w:tcPr>
            <w:tcW w:w="5328" w:type="dxa"/>
            <w:vAlign w:val="center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«Развитие экономического потенциала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Омской области» (далее – муниципальная программа)</w:t>
            </w:r>
          </w:p>
        </w:tc>
      </w:tr>
      <w:tr w:rsidR="0054011E" w:rsidRPr="005B5C37" w:rsidTr="006D30FD">
        <w:tc>
          <w:tcPr>
            <w:tcW w:w="5328" w:type="dxa"/>
            <w:vAlign w:val="center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4500" w:type="dxa"/>
            <w:vAlign w:val="center"/>
          </w:tcPr>
          <w:p w:rsidR="0054011E" w:rsidRPr="005B5C37" w:rsidRDefault="0054011E" w:rsidP="006D3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автомобильных дорог, пассажирского транспорта в границах </w:t>
            </w:r>
            <w:proofErr w:type="spellStart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(далее – подпрограмма)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54011E" w:rsidRPr="005B5C37" w:rsidTr="006D30FD">
        <w:trPr>
          <w:trHeight w:val="1048"/>
        </w:trPr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54011E" w:rsidRPr="005B5C37" w:rsidTr="006D30FD">
        <w:trPr>
          <w:trHeight w:val="401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54011E" w:rsidRPr="005B5C37" w:rsidTr="006D30FD">
        <w:trPr>
          <w:trHeight w:val="328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доступности пассажирских перевозок..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3. Упорядочение движения транспортных средств, пешеходов на дорогах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54011E" w:rsidRPr="005B5C37" w:rsidTr="006D30FD">
        <w:trPr>
          <w:trHeight w:val="1975"/>
        </w:trPr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Обеспечение установления размера оплаты проезда по маршрутам в границах 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ниже экономически обоснованных затрат перевозчиков.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54011E" w:rsidRPr="005B5C37" w:rsidTr="006D30FD">
        <w:trPr>
          <w:trHeight w:val="701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115 605 941,04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36 265 424,24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10 451 600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>
              <w:rPr>
                <w:rFonts w:ascii="Times New Roman" w:hAnsi="Times New Roman"/>
                <w:sz w:val="24"/>
                <w:szCs w:val="24"/>
              </w:rPr>
              <w:t>77 881 079,11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9 933 301,96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10 451 600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37 724 861,93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26 332 122,28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54011E" w:rsidRPr="005B5C37" w:rsidTr="006D30FD">
        <w:trPr>
          <w:trHeight w:val="697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Доля сельских населенных пунктов в границах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района, охваченных регулярным транспортным сообщением автомобильным транспортом</w:t>
            </w:r>
          </w:p>
        </w:tc>
      </w:tr>
    </w:tbl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</w:t>
      </w:r>
      <w:proofErr w:type="gramStart"/>
      <w:r w:rsidRPr="005B5C3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</w:t>
      </w:r>
      <w:proofErr w:type="spellStart"/>
      <w:r w:rsidRPr="005B5C37">
        <w:rPr>
          <w:rFonts w:ascii="Times New Roman" w:hAnsi="Times New Roman"/>
          <w:sz w:val="24"/>
          <w:szCs w:val="24"/>
        </w:rPr>
        <w:t>Омскоблавтотранс</w:t>
      </w:r>
      <w:proofErr w:type="spellEnd"/>
      <w:r w:rsidRPr="005B5C37">
        <w:rPr>
          <w:rFonts w:ascii="Times New Roman" w:hAnsi="Times New Roman"/>
          <w:sz w:val="24"/>
          <w:szCs w:val="24"/>
        </w:rPr>
        <w:t>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обеспечение муниципального </w:t>
      </w:r>
      <w:proofErr w:type="gramStart"/>
      <w:r w:rsidRPr="005B5C3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 сохранностью и эксплуатацией дорог общего пользования местного значения;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54011E" w:rsidRPr="005B5C37" w:rsidRDefault="0054011E" w:rsidP="0054011E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</w:t>
      </w:r>
      <w:proofErr w:type="gramStart"/>
      <w:r w:rsidRPr="005B5C37">
        <w:rPr>
          <w:rFonts w:ascii="Times New Roman" w:hAnsi="Times New Roman"/>
          <w:sz w:val="24"/>
          <w:szCs w:val="24"/>
        </w:rPr>
        <w:t>..</w:t>
      </w:r>
      <w:proofErr w:type="gramEnd"/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3. Упорядочение движения транспортных средств, пешеходов на дорогах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В состав подпрограммы «Модернизация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области» включены следующие  основные мероприятия: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2. Задаче 2 подпрограммы соответствует основное мероприятие «Обеспечение установления размера оплаты проезда по маршрутам в границах 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ниже экономически обоснованных затрат перевозчиков».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54011E" w:rsidRPr="005B5C37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11E" w:rsidRPr="002D35B0" w:rsidRDefault="0054011E" w:rsidP="0054011E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54011E" w:rsidRPr="002D35B0" w:rsidRDefault="0054011E" w:rsidP="005401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54011E" w:rsidRPr="002D35B0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54011E" w:rsidRPr="002D35B0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предоставление бюджетам поселений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54011E" w:rsidRPr="002D35B0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выполнение работ по подготовке и (или) проверке сметной документации.</w:t>
      </w:r>
    </w:p>
    <w:p w:rsidR="0054011E" w:rsidRPr="002D35B0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«Обеспечение установления размера оплаты проезда по маршрутам в границах 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ниже </w:t>
      </w:r>
      <w:r w:rsidRPr="002D35B0">
        <w:rPr>
          <w:rFonts w:ascii="Times New Roman" w:hAnsi="Times New Roman" w:cs="Times New Roman"/>
          <w:sz w:val="24"/>
          <w:szCs w:val="24"/>
        </w:rPr>
        <w:lastRenderedPageBreak/>
        <w:t>экономически обоснованных затрат перевозчиков» планируется выполнение следующих мероприятий:</w:t>
      </w:r>
    </w:p>
    <w:p w:rsidR="0054011E" w:rsidRPr="002D35B0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</w:t>
      </w:r>
      <w:proofErr w:type="spellStart"/>
      <w:r w:rsidRPr="002D35B0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54011E" w:rsidRPr="005B5C37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разработка комплексной схемы организации дорожного движения для дорог общего пользования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(в том числе внесение изменений);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выполнение работ по разработке Проектов организации дорожного движения для автомобильных дорог общего пользования, относящихся к собственности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 (в том числе внесение изменений).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"Развитие экономического потенциала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области". 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Общий объем средств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115 605 941,04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36 265 424,24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10 451 600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77 881 079,11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9 933 301,96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10 451 600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37 724 861,93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26 332 122,28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54011E" w:rsidRPr="003C124A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54011E" w:rsidRPr="003C124A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5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  «Развитие экономического потенциала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p w:rsidR="0054011E" w:rsidRPr="003C124A" w:rsidRDefault="0054011E" w:rsidP="0054011E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54011E" w:rsidRPr="003C124A" w:rsidRDefault="0054011E" w:rsidP="0054011E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54011E" w:rsidRPr="003C124A" w:rsidRDefault="0054011E" w:rsidP="0054011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района, охваченных регулярным транспортным сообщением  автомобильным транспортом по годам реализации: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9. Описание системы управления реализацией подпрограммы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Отдел по строительству, архитектуре и ЖКХ осуществляет оперативное управление и </w:t>
      </w:r>
      <w:proofErr w:type="gramStart"/>
      <w:r w:rsidRPr="003C12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утвержденному постановлением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p w:rsidR="00CD018D" w:rsidRDefault="00CD018D"/>
    <w:sectPr w:rsidR="00CD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1E"/>
    <w:rsid w:val="0054011E"/>
    <w:rsid w:val="00585BC8"/>
    <w:rsid w:val="00CD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01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401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40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011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01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401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40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011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1</cp:revision>
  <dcterms:created xsi:type="dcterms:W3CDTF">2024-12-10T03:37:00Z</dcterms:created>
  <dcterms:modified xsi:type="dcterms:W3CDTF">2024-12-10T08:11:00Z</dcterms:modified>
</cp:coreProperties>
</file>