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bookmarkStart w:id="0" w:name="_GoBack"/>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F905A2">
        <w:rPr>
          <w:rFonts w:ascii="Times New Roman" w:hAnsi="Times New Roman"/>
          <w:sz w:val="24"/>
          <w:szCs w:val="24"/>
        </w:rPr>
        <w:t>13</w:t>
      </w:r>
      <w:r w:rsidR="00813B2B">
        <w:rPr>
          <w:rFonts w:ascii="Times New Roman" w:hAnsi="Times New Roman"/>
          <w:sz w:val="24"/>
          <w:szCs w:val="24"/>
        </w:rPr>
        <w:t>.11</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w:t>
      </w:r>
      <w:r w:rsidR="00F905A2">
        <w:rPr>
          <w:rFonts w:ascii="Times New Roman" w:hAnsi="Times New Roman"/>
          <w:sz w:val="24"/>
          <w:szCs w:val="24"/>
        </w:rPr>
        <w:t>43</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Муромцевскому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обеспечения граждан доступным и комфортным жильем и жилищно-коммунальными услугами в Муромцевском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Общий объем средств на финансирование муниципальной программы составляет 1 186 548 058,93 рубля, в том числе:</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166 293 592,04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171 502 967,18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192 147 044,29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148 437 669,88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132 091 789,30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131 283 939,76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81 310 352,16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81 560 352,16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81 920 352,16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местного бюджета на реализацию муниципальной программы составляет 772 622 638,61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82 661 934,97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99 796 194,20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119 755 473,93 рубля;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2025 год – 108 551 637,46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99 776 203,34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98 946 225,54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54 091 656,39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54 341 656,39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lastRenderedPageBreak/>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1159E0" w:rsidRDefault="00E80836" w:rsidP="001159E0">
            <w:pPr>
              <w:spacing w:after="0" w:line="240" w:lineRule="auto"/>
              <w:jc w:val="both"/>
              <w:rPr>
                <w:rFonts w:ascii="Times New Roman" w:hAnsi="Times New Roman"/>
                <w:sz w:val="24"/>
                <w:szCs w:val="24"/>
              </w:rPr>
            </w:pPr>
            <w:proofErr w:type="gramStart"/>
            <w:r w:rsidRPr="001159E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0E348C" w:rsidRPr="001159E0" w:rsidRDefault="000E348C" w:rsidP="00E80836">
            <w:pPr>
              <w:spacing w:after="0" w:line="240" w:lineRule="auto"/>
              <w:jc w:val="both"/>
              <w:rPr>
                <w:rFonts w:ascii="Times New Roman" w:hAnsi="Times New Roman"/>
                <w:sz w:val="24"/>
                <w:szCs w:val="24"/>
                <w:highlight w:val="yellow"/>
              </w:rPr>
            </w:pPr>
            <w:proofErr w:type="gramStart"/>
            <w:r w:rsidRPr="001159E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степени качества организации и осуществления бюджетного процесса в Муромцевском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Муромцевском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bookmarkEnd w:id="0"/>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Муниципальная  программа разработана на основе анализа текущей социально-экономической ситуации в Муромцевском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Муромцевском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 xml:space="preserve">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Муромцевском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w:t>
      </w:r>
      <w:r w:rsidR="00CE6602">
        <w:rPr>
          <w:rFonts w:ascii="Times New Roman" w:hAnsi="Times New Roman"/>
          <w:sz w:val="24"/>
          <w:szCs w:val="24"/>
        </w:rPr>
        <w:t xml:space="preserve">цево, </w:t>
      </w:r>
      <w:proofErr w:type="gramStart"/>
      <w:r w:rsidR="00CE6602">
        <w:rPr>
          <w:rFonts w:ascii="Times New Roman" w:hAnsi="Times New Roman"/>
          <w:sz w:val="24"/>
          <w:szCs w:val="24"/>
        </w:rPr>
        <w:t>предназначенный</w:t>
      </w:r>
      <w:proofErr w:type="gramEnd"/>
      <w:r w:rsidR="00CE6602">
        <w:rPr>
          <w:rFonts w:ascii="Times New Roman" w:hAnsi="Times New Roman"/>
          <w:sz w:val="24"/>
          <w:szCs w:val="24"/>
        </w:rPr>
        <w:t xml:space="preserve"> для предо</w:t>
      </w:r>
      <w:r w:rsidRPr="003C124A">
        <w:rPr>
          <w:rFonts w:ascii="Times New Roman" w:hAnsi="Times New Roman"/>
          <w:sz w:val="24"/>
          <w:szCs w:val="24"/>
        </w:rPr>
        <w:t>ставления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r w:rsidR="0069630E" w:rsidRPr="003C124A">
        <w:rPr>
          <w:rFonts w:ascii="Times New Roman" w:hAnsi="Times New Roman"/>
          <w:sz w:val="24"/>
          <w:szCs w:val="24"/>
        </w:rPr>
        <w:t>Муромцевский</w:t>
      </w:r>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Муромцевский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Муромцевском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"Бергамакское", ООО "Муромцевский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Муромцевским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Муромцевском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Совершенствование организации и осуществления бюджетного процесса в Муромцевском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Создание условий для обеспечения граждан доступным и комфортным жильем и жилищно-коммунальными услугами в Муромцевском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Общий объем средств на финансирование муниципальной программы составляет 1 186 548 058,93 рубля, в том числе:</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166 293 592,04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171 502 967,18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192 147 044,29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148 437 669,88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132 091 789,30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131 283 939,76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81 310 352,16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81 560 352,16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81 920 352,16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местного бюджета на реализацию муниципальной программы составляет 772 622 638,61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82 661 934,97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99 796 194,20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2024 год – 119 755 473,93 рубля;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2025 год – 108 551 637,46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99 776 203,34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98 946 225,54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54 091 656,39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54 341 656,39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Муромцевском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947 684 346,69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130 513 470,77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626 016 186,09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91 388 574,31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3. Обеспечение степени качества организации и осуществления бюджетного процесса в Муромцевском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Муромцевском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организации и осуществления бюджетного процесса в Муромцевском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 xml:space="preserve">достижение </w:t>
      </w:r>
      <w:proofErr w:type="gramStart"/>
      <w:r w:rsidRPr="00FA7610">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FA7610">
        <w:rPr>
          <w:rFonts w:ascii="Times New Roman" w:hAnsi="Times New Roman"/>
          <w:sz w:val="24"/>
          <w:szCs w:val="24"/>
        </w:rPr>
        <w:t xml:space="preserve"> и сельских поселений.</w:t>
      </w:r>
    </w:p>
    <w:p w:rsidR="004A1F50" w:rsidRPr="00FA761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w:t>
      </w:r>
      <w:proofErr w:type="gramStart"/>
      <w:r w:rsidRPr="00FA7610">
        <w:rPr>
          <w:rFonts w:ascii="Times New Roman" w:hAnsi="Times New Roman"/>
          <w:sz w:val="24"/>
          <w:szCs w:val="24"/>
        </w:rPr>
        <w:t>ств в сф</w:t>
      </w:r>
      <w:proofErr w:type="gramEnd"/>
      <w:r w:rsidRPr="00FA7610">
        <w:rPr>
          <w:rFonts w:ascii="Times New Roman" w:hAnsi="Times New Roman"/>
          <w:sz w:val="24"/>
          <w:szCs w:val="24"/>
        </w:rPr>
        <w:t>ере информационных технологий.</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lastRenderedPageBreak/>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Муромцевский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Муромцевский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Муромцевский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90532" w:rsidRPr="00651DFA" w:rsidRDefault="00490532" w:rsidP="00490532">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947 684 346,69</w:t>
      </w:r>
      <w:r w:rsidRPr="00651DFA">
        <w:rPr>
          <w:rFonts w:ascii="Times New Roman" w:hAnsi="Times New Roman"/>
          <w:sz w:val="24"/>
          <w:szCs w:val="24"/>
        </w:rPr>
        <w:t xml:space="preserve"> рублей, в том числе по годам:</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130 513 470,77</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626 016 186,09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91 388 574,31</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Муромцевском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Муромцевском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 xml:space="preserve">69 </w:t>
            </w:r>
            <w:r w:rsidR="00490532">
              <w:rPr>
                <w:rFonts w:ascii="Times New Roman" w:hAnsi="Times New Roman"/>
                <w:sz w:val="24"/>
                <w:szCs w:val="24"/>
              </w:rPr>
              <w:t>877 788,22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490532">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490532">
              <w:rPr>
                <w:rFonts w:ascii="Times New Roman" w:hAnsi="Times New Roman"/>
                <w:sz w:val="24"/>
                <w:szCs w:val="24"/>
              </w:rPr>
              <w:t>21 504 692,41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490532">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w:t>
      </w:r>
      <w:r w:rsidRPr="003C124A">
        <w:rPr>
          <w:rFonts w:ascii="Times New Roman" w:hAnsi="Times New Roman"/>
          <w:sz w:val="24"/>
          <w:szCs w:val="24"/>
        </w:rPr>
        <w:lastRenderedPageBreak/>
        <w:t xml:space="preserve">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Муромцевском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Муромцевском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Муромцевском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Муромцевский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Муромцевском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w:t>
      </w:r>
      <w:r w:rsidRPr="00DC1A74">
        <w:rPr>
          <w:rFonts w:ascii="Times New Roman" w:hAnsi="Times New Roman"/>
          <w:sz w:val="24"/>
          <w:szCs w:val="24"/>
        </w:rPr>
        <w:lastRenderedPageBreak/>
        <w:t>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Муромцевский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Муромцевский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Муромцевский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Муромцевский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Муромцевский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Муромцевский,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Муромцевский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Муромцевский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Муромцевский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Муромцевский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Муромцевский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lastRenderedPageBreak/>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Муромцево, Муромцевский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консалтинговые услуги по повышению эффективности работы системы теплоснабжения котельной, расположенной по адресу: Омская область, Муромцевский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Муромцевский район, с. </w:t>
      </w:r>
      <w:proofErr w:type="gramStart"/>
      <w:r w:rsidRPr="002D35B0">
        <w:rPr>
          <w:rFonts w:ascii="Times New Roman" w:hAnsi="Times New Roman"/>
          <w:sz w:val="24"/>
          <w:szCs w:val="24"/>
        </w:rPr>
        <w:t>Низовое</w:t>
      </w:r>
      <w:proofErr w:type="gramEnd"/>
      <w:r w:rsidRPr="002D35B0">
        <w:rPr>
          <w:rFonts w:ascii="Times New Roman" w:hAnsi="Times New Roman"/>
          <w:sz w:val="24"/>
          <w:szCs w:val="24"/>
        </w:rPr>
        <w:t>,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Муромцевский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Муромцевский,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Муромцевский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Муромцевский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Муромцевский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lastRenderedPageBreak/>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69 877 788,22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21 504 692,41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235 183,15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 Омской области по Муромцевскому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и (или) </w:t>
            </w:r>
            <w:r w:rsidRPr="003C124A">
              <w:rPr>
                <w:rFonts w:ascii="Times New Roman" w:hAnsi="Times New Roman"/>
                <w:sz w:val="24"/>
                <w:szCs w:val="24"/>
              </w:rPr>
              <w:lastRenderedPageBreak/>
              <w:t>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«Развитие кадрового потенциала агропромышленного </w:t>
            </w:r>
            <w:r w:rsidRPr="003C124A">
              <w:rPr>
                <w:rFonts w:ascii="Times New Roman" w:hAnsi="Times New Roman"/>
                <w:sz w:val="24"/>
                <w:szCs w:val="24"/>
              </w:rPr>
              <w:lastRenderedPageBreak/>
              <w:t>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w:t>
            </w:r>
            <w:r w:rsidR="00DB4EFC">
              <w:rPr>
                <w:rFonts w:ascii="Times New Roman" w:hAnsi="Times New Roman"/>
                <w:sz w:val="24"/>
                <w:szCs w:val="24"/>
              </w:rPr>
              <w:t>5</w:t>
            </w:r>
            <w:r>
              <w:rPr>
                <w:rFonts w:ascii="Times New Roman" w:hAnsi="Times New Roman"/>
                <w:sz w:val="24"/>
                <w:szCs w:val="24"/>
              </w:rPr>
              <w:t>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6 409 819,69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6 346 043,58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DB4EFC">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w:t>
            </w:r>
            <w:r w:rsidR="00DB4EFC">
              <w:rPr>
                <w:rFonts w:ascii="Times New Roman" w:hAnsi="Times New Roman"/>
                <w:sz w:val="24"/>
                <w:szCs w:val="24"/>
              </w:rPr>
              <w:t>5</w:t>
            </w:r>
            <w:r>
              <w:rPr>
                <w:rFonts w:ascii="Times New Roman" w:hAnsi="Times New Roman"/>
                <w:sz w:val="24"/>
                <w:szCs w:val="24"/>
              </w:rPr>
              <w:t>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6 261 280</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5 678 648</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5 678 648,00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DB4EFC">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731 171,69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667 395,58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lastRenderedPageBreak/>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lastRenderedPageBreak/>
        <w:t xml:space="preserve">Подпрограмма базируется на положениях Федерального </w:t>
      </w:r>
      <w:hyperlink r:id="rId11"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3C124A">
        <w:rPr>
          <w:rFonts w:ascii="Times New Roman" w:hAnsi="Times New Roman"/>
          <w:sz w:val="24"/>
          <w:szCs w:val="24"/>
        </w:rPr>
        <w:t xml:space="preserve">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Муромцевском районе производство зерна в весе после доработки составило 67,1 </w:t>
      </w:r>
      <w:proofErr w:type="spellStart"/>
      <w:r w:rsidRPr="003C124A">
        <w:rPr>
          <w:rFonts w:ascii="Times New Roman" w:hAnsi="Times New Roman"/>
          <w:sz w:val="24"/>
          <w:szCs w:val="24"/>
        </w:rPr>
        <w:t>тыс</w:t>
      </w:r>
      <w:proofErr w:type="gramStart"/>
      <w:r w:rsidRPr="003C124A">
        <w:rPr>
          <w:rFonts w:ascii="Times New Roman" w:hAnsi="Times New Roman"/>
          <w:sz w:val="24"/>
          <w:szCs w:val="24"/>
        </w:rPr>
        <w:t>.т</w:t>
      </w:r>
      <w:proofErr w:type="gramEnd"/>
      <w:r w:rsidRPr="003C124A">
        <w:rPr>
          <w:rFonts w:ascii="Times New Roman" w:hAnsi="Times New Roman"/>
          <w:sz w:val="24"/>
          <w:szCs w:val="24"/>
        </w:rPr>
        <w:t>онн</w:t>
      </w:r>
      <w:proofErr w:type="spellEnd"/>
      <w:r w:rsidRPr="003C124A">
        <w:rPr>
          <w:rFonts w:ascii="Times New Roman" w:hAnsi="Times New Roman"/>
          <w:sz w:val="24"/>
          <w:szCs w:val="24"/>
        </w:rPr>
        <w:t>, урожайность 18,0 ц/га.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Муромцевском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Вместе с тем в сельскохозяйственном производстве Муромцевского района существует ряд проблем, </w:t>
      </w:r>
      <w:proofErr w:type="gramStart"/>
      <w:r w:rsidRPr="003C124A">
        <w:rPr>
          <w:rFonts w:ascii="Times New Roman" w:hAnsi="Times New Roman"/>
          <w:sz w:val="24"/>
          <w:szCs w:val="24"/>
        </w:rPr>
        <w:t>к</w:t>
      </w:r>
      <w:proofErr w:type="gramEnd"/>
      <w:r w:rsidRPr="003C124A">
        <w:rPr>
          <w:rFonts w:ascii="Times New Roman" w:hAnsi="Times New Roman"/>
          <w:sz w:val="24"/>
          <w:szCs w:val="24"/>
        </w:rPr>
        <w:t xml:space="preserve">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roofErr w:type="gramStart"/>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w:t>
      </w:r>
      <w:proofErr w:type="gramEnd"/>
      <w:r w:rsidRPr="003C124A">
        <w:rPr>
          <w:rFonts w:ascii="Times New Roman" w:hAnsi="Times New Roman"/>
          <w:bCs/>
          <w:sz w:val="24"/>
          <w:szCs w:val="24"/>
        </w:rPr>
        <w:t xml:space="preserve">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xml:space="preserve">Основное мероприятие 1 «Развитие малых форм хозяйствования» направлено </w:t>
      </w:r>
      <w:proofErr w:type="gramStart"/>
      <w:r w:rsidRPr="003C124A">
        <w:rPr>
          <w:rFonts w:ascii="Times New Roman" w:hAnsi="Times New Roman"/>
          <w:bCs/>
          <w:sz w:val="24"/>
          <w:szCs w:val="24"/>
        </w:rPr>
        <w:t>на</w:t>
      </w:r>
      <w:proofErr w:type="gramEnd"/>
      <w:r w:rsidRPr="003C124A">
        <w:rPr>
          <w:rFonts w:ascii="Times New Roman" w:hAnsi="Times New Roman"/>
          <w:bCs/>
          <w:sz w:val="24"/>
          <w:szCs w:val="24"/>
        </w:rPr>
        <w:t>:</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w:t>
      </w:r>
      <w:proofErr w:type="gramStart"/>
      <w:r w:rsidRPr="005B5C37">
        <w:rPr>
          <w:rFonts w:ascii="Times New Roman" w:hAnsi="Times New Roman"/>
          <w:sz w:val="24"/>
          <w:szCs w:val="24"/>
        </w:rPr>
        <w:t>й(</w:t>
      </w:r>
      <w:proofErr w:type="gramEnd"/>
      <w:r w:rsidRPr="005B5C37">
        <w:rPr>
          <w:rFonts w:ascii="Times New Roman" w:hAnsi="Times New Roman"/>
          <w:sz w:val="24"/>
          <w:szCs w:val="24"/>
        </w:rPr>
        <w:t>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proofErr w:type="gramStart"/>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5B5C37">
        <w:rPr>
          <w:rFonts w:ascii="Times New Roman" w:hAnsi="Times New Roman"/>
          <w:sz w:val="24"/>
          <w:szCs w:val="24"/>
        </w:rPr>
        <w:t xml:space="preserve"> период значений (уровней) показателей для оценки </w:t>
      </w:r>
      <w:proofErr w:type="gramStart"/>
      <w:r w:rsidRPr="005B5C37">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5B5C37">
        <w:rPr>
          <w:rFonts w:ascii="Times New Roman" w:hAnsi="Times New Roman"/>
          <w:sz w:val="24"/>
          <w:szCs w:val="24"/>
        </w:rPr>
        <w:t xml:space="preserve"> и деятельности органов </w:t>
      </w:r>
      <w:r w:rsidRPr="005B5C37">
        <w:rPr>
          <w:rFonts w:ascii="Times New Roman" w:hAnsi="Times New Roman"/>
          <w:sz w:val="24"/>
          <w:szCs w:val="24"/>
        </w:rPr>
        <w:lastRenderedPageBreak/>
        <w:t>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DB4EFC" w:rsidRPr="003C124A" w:rsidRDefault="00107D82" w:rsidP="00DB4EFC">
      <w:pPr>
        <w:spacing w:after="0"/>
        <w:jc w:val="both"/>
        <w:rPr>
          <w:rFonts w:ascii="Times New Roman" w:hAnsi="Times New Roman"/>
          <w:sz w:val="24"/>
          <w:szCs w:val="24"/>
        </w:rPr>
      </w:pPr>
      <w:r>
        <w:rPr>
          <w:rFonts w:ascii="Times New Roman" w:hAnsi="Times New Roman"/>
          <w:sz w:val="24"/>
          <w:szCs w:val="24"/>
        </w:rPr>
        <w:tab/>
      </w:r>
      <w:r w:rsidR="00DB4EFC"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00DB4EFC" w:rsidRPr="003C124A">
        <w:rPr>
          <w:rFonts w:ascii="Times New Roman" w:hAnsi="Times New Roman"/>
          <w:sz w:val="24"/>
          <w:szCs w:val="24"/>
        </w:rPr>
        <w:t xml:space="preserve"> рубл</w:t>
      </w:r>
      <w:r w:rsidR="00DB4EFC">
        <w:rPr>
          <w:rFonts w:ascii="Times New Roman" w:hAnsi="Times New Roman"/>
          <w:sz w:val="24"/>
          <w:szCs w:val="24"/>
        </w:rPr>
        <w:t>ей</w:t>
      </w:r>
      <w:r w:rsidR="00DB4EFC" w:rsidRPr="003C124A">
        <w:rPr>
          <w:rFonts w:ascii="Times New Roman" w:hAnsi="Times New Roman"/>
          <w:sz w:val="24"/>
          <w:szCs w:val="24"/>
        </w:rPr>
        <w:t xml:space="preserve">, в том числе: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6 750 938,83</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6 409 819,69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6 346 043,58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5 852 033,00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6 261 280,00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731 171,69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667 395,58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w:t>
      </w:r>
      <w:proofErr w:type="gramStart"/>
      <w:r w:rsidRPr="005B5C37">
        <w:rPr>
          <w:rFonts w:ascii="Times New Roman" w:hAnsi="Times New Roman" w:cs="Times New Roman"/>
          <w:sz w:val="24"/>
          <w:szCs w:val="24"/>
        </w:rPr>
        <w:t>дств пр</w:t>
      </w:r>
      <w:proofErr w:type="gramEnd"/>
      <w:r w:rsidRPr="005B5C37">
        <w:rPr>
          <w:rFonts w:ascii="Times New Roman" w:hAnsi="Times New Roman" w:cs="Times New Roman"/>
          <w:sz w:val="24"/>
          <w:szCs w:val="24"/>
        </w:rPr>
        <w:t>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lastRenderedPageBreak/>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Ежегодно не позднее 1 мая года, следующего за </w:t>
      </w:r>
      <w:proofErr w:type="gramStart"/>
      <w:r w:rsidRPr="005B5C37">
        <w:rPr>
          <w:rFonts w:ascii="Times New Roman" w:hAnsi="Times New Roman" w:cs="Times New Roman"/>
          <w:sz w:val="24"/>
          <w:szCs w:val="24"/>
        </w:rPr>
        <w:t>отчетным</w:t>
      </w:r>
      <w:proofErr w:type="gramEnd"/>
      <w:r w:rsidRPr="005B5C37">
        <w:rPr>
          <w:rFonts w:ascii="Times New Roman" w:hAnsi="Times New Roman" w:cs="Times New Roman"/>
          <w:sz w:val="24"/>
          <w:szCs w:val="24"/>
        </w:rPr>
        <w:t>,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lastRenderedPageBreak/>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F905A2">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F905A2">
        <w:tc>
          <w:tcPr>
            <w:tcW w:w="5328" w:type="dxa"/>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w:t>
            </w:r>
          </w:p>
        </w:tc>
      </w:tr>
      <w:tr w:rsidR="005B7A3A" w:rsidRPr="005B5C37" w:rsidTr="00F905A2">
        <w:trPr>
          <w:trHeight w:val="1048"/>
        </w:trPr>
        <w:tc>
          <w:tcPr>
            <w:tcW w:w="5328" w:type="dxa"/>
          </w:tcPr>
          <w:p w:rsidR="005B7A3A" w:rsidRPr="005B5C37" w:rsidRDefault="005B7A3A" w:rsidP="00F905A2">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F905A2">
            <w:pPr>
              <w:pStyle w:val="ConsPlusCell"/>
              <w:jc w:val="both"/>
              <w:rPr>
                <w:sz w:val="24"/>
                <w:szCs w:val="24"/>
              </w:rPr>
            </w:pPr>
            <w:r w:rsidRPr="005B5C37">
              <w:rPr>
                <w:sz w:val="24"/>
                <w:szCs w:val="24"/>
              </w:rPr>
              <w:t>2022 – 2030 годы</w:t>
            </w:r>
          </w:p>
        </w:tc>
      </w:tr>
      <w:tr w:rsidR="005B7A3A" w:rsidRPr="005B5C37" w:rsidTr="00F905A2">
        <w:trPr>
          <w:trHeight w:val="4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B7A3A" w:rsidRPr="005B5C37" w:rsidTr="00F905A2">
        <w:trPr>
          <w:trHeight w:val="328"/>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1. Улучшение состояния автомобильных </w:t>
            </w:r>
            <w:r w:rsidRPr="005B5C37">
              <w:rPr>
                <w:rFonts w:ascii="Times New Roman" w:hAnsi="Times New Roman"/>
                <w:sz w:val="24"/>
                <w:szCs w:val="24"/>
              </w:rPr>
              <w:lastRenderedPageBreak/>
              <w:t>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F905A2">
        <w:trPr>
          <w:trHeight w:val="1975"/>
        </w:trPr>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F905A2">
        <w:trPr>
          <w:trHeight w:val="7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115 590 941,04</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B4EFC">
              <w:rPr>
                <w:rFonts w:ascii="Times New Roman" w:hAnsi="Times New Roman"/>
                <w:sz w:val="24"/>
                <w:szCs w:val="24"/>
              </w:rPr>
              <w:t>77 866 079,11</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w:t>
            </w:r>
            <w:r w:rsidRPr="005B5C37">
              <w:rPr>
                <w:rFonts w:ascii="Times New Roman" w:hAnsi="Times New Roman"/>
                <w:sz w:val="24"/>
                <w:szCs w:val="24"/>
              </w:rPr>
              <w:lastRenderedPageBreak/>
              <w:t xml:space="preserve">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F905A2">
        <w:trPr>
          <w:trHeight w:val="697"/>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Муромцевском районе обеспечивается АО «Омскоблавтотранс» автомобильным транспортом по 16-ти муниципальным маршрутам </w:t>
      </w:r>
      <w:r w:rsidRPr="005B5C37">
        <w:rPr>
          <w:rFonts w:ascii="Times New Roman" w:hAnsi="Times New Roman"/>
          <w:sz w:val="24"/>
          <w:szCs w:val="24"/>
        </w:rPr>
        <w:lastRenderedPageBreak/>
        <w:t>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DB4EFC" w:rsidRPr="005B5C37" w:rsidRDefault="005B7A3A" w:rsidP="00DB4EFC">
      <w:pPr>
        <w:spacing w:after="0"/>
        <w:jc w:val="both"/>
        <w:rPr>
          <w:rFonts w:ascii="Times New Roman" w:hAnsi="Times New Roman"/>
          <w:sz w:val="24"/>
          <w:szCs w:val="24"/>
        </w:rPr>
      </w:pPr>
      <w:r w:rsidRPr="005B5C37">
        <w:rPr>
          <w:rFonts w:ascii="Times New Roman" w:hAnsi="Times New Roman"/>
          <w:sz w:val="24"/>
          <w:szCs w:val="24"/>
        </w:rPr>
        <w:lastRenderedPageBreak/>
        <w:tab/>
      </w:r>
      <w:r w:rsidR="00DB4EFC"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115 590 941,04</w:t>
      </w:r>
      <w:r w:rsidR="00DB4EFC"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36 250 424,24</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77 866 079,11</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9 918 301,96</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DB4EF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w:t>
            </w:r>
            <w:r w:rsidRPr="003C124A">
              <w:rPr>
                <w:rFonts w:ascii="Times New Roman" w:hAnsi="Times New Roman"/>
                <w:sz w:val="24"/>
                <w:szCs w:val="24"/>
              </w:rPr>
              <w:lastRenderedPageBreak/>
              <w:t xml:space="preserve">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«Развитие экономического потенциала </w:t>
            </w:r>
            <w:r w:rsidRPr="003C124A">
              <w:rPr>
                <w:rFonts w:ascii="Times New Roman" w:hAnsi="Times New Roman" w:cs="Times New Roman"/>
                <w:sz w:val="24"/>
                <w:szCs w:val="24"/>
              </w:rPr>
              <w:lastRenderedPageBreak/>
              <w:t>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Муромцевском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Муромцевском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Муромцевском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Муромцевском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w:t>
      </w:r>
      <w:r w:rsidRPr="003C124A">
        <w:rPr>
          <w:rFonts w:ascii="Times New Roman" w:hAnsi="Times New Roman"/>
          <w:sz w:val="24"/>
          <w:szCs w:val="24"/>
        </w:rPr>
        <w:lastRenderedPageBreak/>
        <w:t>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Муромцевском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предпринимательства, мероприятия по поддержке предпринимательской инициативы в Муромцевском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Муромцевском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Муромцевском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813B2B" w:rsidRPr="00813B2B" w:rsidRDefault="00813B2B" w:rsidP="00E10821">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4) Информационно-консультационная поддержка социальных предпринимателей.</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Для ежегодной оценки эффективности реализации </w:t>
      </w:r>
      <w:proofErr w:type="gramStart"/>
      <w:r w:rsidRPr="00813B2B">
        <w:rPr>
          <w:rFonts w:ascii="Times New Roman" w:hAnsi="Times New Roman"/>
          <w:color w:val="FF0000"/>
          <w:sz w:val="24"/>
          <w:szCs w:val="24"/>
        </w:rPr>
        <w:t>данного</w:t>
      </w:r>
      <w:proofErr w:type="gramEnd"/>
      <w:r w:rsidRPr="00813B2B">
        <w:rPr>
          <w:rFonts w:ascii="Times New Roman" w:hAnsi="Times New Roman"/>
          <w:color w:val="FF0000"/>
          <w:sz w:val="24"/>
          <w:szCs w:val="24"/>
        </w:rPr>
        <w:t xml:space="preserve"> </w:t>
      </w:r>
      <w:proofErr w:type="spellStart"/>
      <w:r w:rsidRPr="00813B2B">
        <w:rPr>
          <w:rFonts w:ascii="Times New Roman" w:hAnsi="Times New Roman"/>
          <w:color w:val="FF0000"/>
          <w:sz w:val="24"/>
          <w:szCs w:val="24"/>
        </w:rPr>
        <w:t>мероприятияиспользуется</w:t>
      </w:r>
      <w:proofErr w:type="spellEnd"/>
      <w:r w:rsidRPr="00813B2B">
        <w:rPr>
          <w:rFonts w:ascii="Times New Roman" w:hAnsi="Times New Roman"/>
          <w:color w:val="FF0000"/>
          <w:sz w:val="24"/>
          <w:szCs w:val="24"/>
        </w:rPr>
        <w:t xml:space="preserve"> следующий целевой индикатор:</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 количество публикаций, размещенных в СМИ, в интернет </w:t>
      </w:r>
      <w:proofErr w:type="gramStart"/>
      <w:r w:rsidRPr="00813B2B">
        <w:rPr>
          <w:rFonts w:ascii="Times New Roman" w:hAnsi="Times New Roman"/>
          <w:color w:val="FF0000"/>
          <w:sz w:val="24"/>
          <w:szCs w:val="24"/>
        </w:rPr>
        <w:t>-и</w:t>
      </w:r>
      <w:proofErr w:type="gramEnd"/>
      <w:r w:rsidRPr="00813B2B">
        <w:rPr>
          <w:rFonts w:ascii="Times New Roman" w:hAnsi="Times New Roman"/>
          <w:color w:val="FF0000"/>
          <w:sz w:val="24"/>
          <w:szCs w:val="24"/>
        </w:rPr>
        <w:t>сточниках о мерах поддержки социального предпринимательства.</w:t>
      </w:r>
    </w:p>
    <w:p w:rsidR="00813B2B" w:rsidRPr="00813B2B" w:rsidRDefault="00813B2B" w:rsidP="00813B2B">
      <w:pPr>
        <w:autoSpaceDE w:val="0"/>
        <w:autoSpaceDN w:val="0"/>
        <w:adjustRightInd w:val="0"/>
        <w:spacing w:after="0"/>
        <w:ind w:firstLine="720"/>
        <w:jc w:val="both"/>
        <w:rPr>
          <w:rFonts w:ascii="Times New Roman" w:hAnsi="Times New Roman"/>
          <w:color w:val="FF0000"/>
          <w:sz w:val="24"/>
          <w:szCs w:val="24"/>
        </w:rPr>
      </w:pPr>
      <w:r w:rsidRPr="00813B2B">
        <w:rPr>
          <w:rFonts w:ascii="Times New Roman" w:hAnsi="Times New Roman"/>
          <w:color w:val="FF0000"/>
          <w:sz w:val="24"/>
          <w:szCs w:val="24"/>
        </w:rPr>
        <w:t xml:space="preserve">При расчете значения целевого индикатора используются данные мониторинга, проводимого </w:t>
      </w:r>
      <w:proofErr w:type="spellStart"/>
      <w:r w:rsidRPr="00813B2B">
        <w:rPr>
          <w:rFonts w:ascii="Times New Roman" w:hAnsi="Times New Roman"/>
          <w:color w:val="FF0000"/>
          <w:sz w:val="24"/>
          <w:szCs w:val="24"/>
        </w:rPr>
        <w:t>КЭиУМС</w:t>
      </w:r>
      <w:proofErr w:type="spellEnd"/>
      <w:r w:rsidRPr="00813B2B">
        <w:rPr>
          <w:rFonts w:ascii="Times New Roman" w:hAnsi="Times New Roman"/>
          <w:color w:val="FF0000"/>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A11C14">
        <w:rPr>
          <w:rFonts w:ascii="Times New Roman" w:hAnsi="Times New Roman"/>
          <w:sz w:val="24"/>
          <w:szCs w:val="24"/>
        </w:rPr>
        <w:t>н-</w:t>
      </w:r>
      <w:proofErr w:type="gramEnd"/>
      <w:r w:rsidRPr="00A11C14">
        <w:rPr>
          <w:rFonts w:ascii="Times New Roman" w:hAnsi="Times New Roman"/>
          <w:sz w:val="24"/>
          <w:szCs w:val="24"/>
        </w:rPr>
        <w:t xml:space="preserve"> и онлайн-формате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r>
      <w:proofErr w:type="gramStart"/>
      <w:r w:rsidRPr="00A11C14">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proofErr w:type="gram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Муромцевском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актуальность бизнес-плана в Муромцевском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Актуальность бизнес-плана в Муромцевском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софинансирование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Муромцевский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Комитет образования, муниципальные образовательные учреждения, ОГИБДД по Муромцевскому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Комитет образования, муниципальные образовательные учреждения, ОГИБДД ОМВД России по Муромцевскому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Контрольно-надзорная деятельность за соблюдением ПДД совершается со стороны сотрудников ОГИБДД ОМВД России по Муромцевскому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Муромцевскому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Муромцевскому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Мероприятие предусматривает проведение ОГИБДД ОМВД России по Муромцевскому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2AE5"/>
    <w:rsid w:val="0018409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CE"/>
    <w:rsid w:val="007B57FF"/>
    <w:rsid w:val="007C08FE"/>
    <w:rsid w:val="007D0531"/>
    <w:rsid w:val="007D0F79"/>
    <w:rsid w:val="007D3370"/>
    <w:rsid w:val="007F4A9F"/>
    <w:rsid w:val="007F6A78"/>
    <w:rsid w:val="00813B2B"/>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602"/>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481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1FC1-ED49-4DA6-ABB2-43F3BE1AE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приложениями.dotx</Template>
  <TotalTime>1</TotalTime>
  <Pages>84</Pages>
  <Words>32616</Words>
  <Characters>185916</Characters>
  <Application>Microsoft Office Word</Application>
  <DocSecurity>4</DocSecurity>
  <Lines>1549</Lines>
  <Paragraphs>436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218096</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Василькова</cp:lastModifiedBy>
  <cp:revision>2</cp:revision>
  <cp:lastPrinted>2024-11-15T06:20:00Z</cp:lastPrinted>
  <dcterms:created xsi:type="dcterms:W3CDTF">2024-11-15T06:21:00Z</dcterms:created>
  <dcterms:modified xsi:type="dcterms:W3CDTF">2024-11-15T06:21:00Z</dcterms:modified>
</cp:coreProperties>
</file>