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от 16.02.2024 № 58-п</w:t>
      </w:r>
    </w:p>
    <w:p w:rsidR="007E1806" w:rsidRDefault="007E1806" w:rsidP="007E1806">
      <w:pPr>
        <w:pStyle w:val="ConsPlusCell"/>
        <w:jc w:val="right"/>
        <w:rPr>
          <w:sz w:val="24"/>
          <w:szCs w:val="24"/>
        </w:rPr>
      </w:pP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Муромцевского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Муромцевского </w:t>
      </w:r>
    </w:p>
    <w:p w:rsidR="007E1806" w:rsidRPr="003629AB" w:rsidRDefault="007E1806" w:rsidP="007E1806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1806" w:rsidRPr="00D07F24" w:rsidRDefault="007E1806" w:rsidP="007E1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7E1806" w:rsidRPr="00D07F24" w:rsidRDefault="007E1806" w:rsidP="007E1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Муромцевского муниципального района Омской области» 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1806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7E1806" w:rsidRPr="003629AB" w:rsidRDefault="007E1806" w:rsidP="007E1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4500"/>
      </w:tblGrid>
      <w:tr w:rsidR="007E1806" w:rsidRPr="003629AB" w:rsidTr="00CF4163">
        <w:tc>
          <w:tcPr>
            <w:tcW w:w="5148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7E1806" w:rsidRPr="003629AB" w:rsidTr="00CF4163">
        <w:tc>
          <w:tcPr>
            <w:tcW w:w="5148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 Муромцевского муниципального района Омской области» (далее – подпрограмма)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 Администрации Муромцевского муниципального района Омской области (далее–Комитет культуры)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культуры, Администрация Муромцевского муниципального района Омской области (далее - Администрация)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7E1806" w:rsidRPr="003629AB" w:rsidTr="00CF4163"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7E1806" w:rsidRPr="003629AB" w:rsidTr="00CF4163">
        <w:trPr>
          <w:trHeight w:val="401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обеспечение жителям Муромцевского района доступа к знаниям, информации и культурным ценностям,  развития туризма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7E1806" w:rsidRPr="003629AB" w:rsidTr="00CF4163">
        <w:trPr>
          <w:trHeight w:val="328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туристской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туристского продукта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9.Обеспечение информационного противодействия идеологии экстремизма и терроризма на территории Муромцевского района.</w:t>
            </w:r>
          </w:p>
        </w:tc>
      </w:tr>
      <w:tr w:rsidR="007E1806" w:rsidRPr="003629AB" w:rsidTr="00CF4163">
        <w:trPr>
          <w:trHeight w:val="709"/>
        </w:trPr>
        <w:tc>
          <w:tcPr>
            <w:tcW w:w="514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Сохранение и эффективное использование культурного наследия Муромцевского района.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туристских ресурсов Муромцевского района на внутреннем и международном туристских рынках.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7E1806" w:rsidRPr="003629AB" w:rsidTr="00CF4163">
        <w:trPr>
          <w:trHeight w:val="701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1 344 938 465,23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201 926 334,28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146 800 897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1 233 408 535,77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167 280 000,00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146 800 897,00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146 500 897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105 320 377,92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33 564 631,83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6 209 551,54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E1806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1 081 702,45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подпрограммы являются поступления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7E1806" w:rsidRPr="003629AB" w:rsidTr="00CF4163">
        <w:trPr>
          <w:trHeight w:val="697"/>
        </w:trPr>
        <w:tc>
          <w:tcPr>
            <w:tcW w:w="5148" w:type="dxa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 xml:space="preserve">Увеличение численности населения, участвующего в платных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мероприятиях: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2029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2026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7E1806" w:rsidRPr="003629AB" w:rsidRDefault="007E1806" w:rsidP="00CF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сфере культуры Муромцевского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 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Муромцевского муниципального района Омской области (МКОУДО «МДШИ»), муниципальное казенное учреждение дополнительного образования 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Муромцевского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Муромцевского муниципального района Омской области «Развитие социально-культурной сферы Муромцевского муниципального района  Омской области» подпрограмма «Развитие культуры и туризма Муромцевского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учреждений района.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совокупного библиотечного фонда составляет  378060 экземпляров. Доступ читателей к книжным фондам и через информационные ресурсы к другим библиотекам России </w:t>
      </w:r>
      <w:r w:rsidRPr="003629AB">
        <w:rPr>
          <w:rFonts w:ascii="Times New Roman" w:hAnsi="Times New Roman"/>
          <w:sz w:val="24"/>
          <w:szCs w:val="24"/>
        </w:rPr>
        <w:lastRenderedPageBreak/>
        <w:t>осуществляется на безвозмездной основе.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 , в которых находятся учреждения культуры нуждаются в капитальном ремонте как самого здания, так и внутренних коммуникаций.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Муромцевского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</w:t>
      </w:r>
      <w:r w:rsidRPr="003629AB">
        <w:rPr>
          <w:rFonts w:ascii="Times New Roman" w:hAnsi="Times New Roman"/>
          <w:sz w:val="24"/>
          <w:szCs w:val="24"/>
        </w:rPr>
        <w:lastRenderedPageBreak/>
        <w:t xml:space="preserve">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Потаенным, и его расположение достоверно не известно.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Муромцевского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</w:t>
      </w:r>
      <w:proofErr w:type="spellStart"/>
      <w:r w:rsidRPr="003629AB">
        <w:rPr>
          <w:rFonts w:ascii="Times New Roman" w:hAnsi="Times New Roman"/>
          <w:sz w:val="24"/>
          <w:szCs w:val="24"/>
        </w:rPr>
        <w:t>Тюменцев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), Гостевой двор «</w:t>
      </w:r>
      <w:proofErr w:type="spellStart"/>
      <w:r w:rsidRPr="003629AB">
        <w:rPr>
          <w:rFonts w:ascii="Times New Roman" w:hAnsi="Times New Roman"/>
          <w:sz w:val="24"/>
          <w:szCs w:val="24"/>
        </w:rPr>
        <w:t>Садху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год.</w:t>
      </w:r>
    </w:p>
    <w:p w:rsidR="007E1806" w:rsidRPr="003629AB" w:rsidRDefault="007E1806" w:rsidP="007E180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Муромцевского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7E1806" w:rsidRPr="003629AB" w:rsidRDefault="007E1806" w:rsidP="007E180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Муромцевского муниципального района создано 5 инвестиционных площадок.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р.п. Муромцево, ул. Паромная 2а, вид разрешенной деятельности – размещение гостиниц.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r w:rsidRPr="003629AB">
        <w:t>ул</w:t>
      </w:r>
      <w:proofErr w:type="spell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7E1806" w:rsidRPr="003629AB" w:rsidRDefault="007E1806" w:rsidP="007E1806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7E1806" w:rsidRPr="003629AB" w:rsidRDefault="007E1806" w:rsidP="007E1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образования, обеспечение жителям Муромцевского района доступа к знаниям, информации и культурным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туристской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Муромцевского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туристского продукта Муромцевского района.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9.Обеспечение информационного противодействия идеологии экстремизма и терроризма на территории Муромцевского района.</w:t>
      </w: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Сохранение и эффективное использование культурного наследия Муромцевского района.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6. Выставочная и презентационная деятельность в сфере туризма.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туристских ресурсов Муромцевского района на внутреннем и международном туристских рынках.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Омской области «Развитие социально-культурной сферы Муромцевского муниципального района Омской области».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9AB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области.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«Обеспечение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7E1806" w:rsidRPr="003629AB" w:rsidRDefault="007E1806" w:rsidP="007E1806">
      <w:pPr>
        <w:pStyle w:val="ConsPlusNonformat"/>
        <w:numPr>
          <w:ilvl w:val="1"/>
          <w:numId w:val="4"/>
        </w:numPr>
        <w:ind w:left="0" w:hanging="372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7E1806" w:rsidRPr="003629AB" w:rsidRDefault="007E1806" w:rsidP="007E1806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 платы работников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629A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7E1806" w:rsidRPr="0037394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7E1806" w:rsidRPr="0037394B" w:rsidRDefault="007E1806" w:rsidP="007E180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«Поощрение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2.1 Организация и проведение массовых мероприятий фестивалей и конкурсов, народных праздников, в т.ч. организация выставок ДПИ и НХП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2.3 Организация экспедиций по району с целью сохранения традиционной культуры Муромцевского района, создание электронного банка данных по народным промыслам и ремеслам.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т.ч. в выставках ДПИ и НХП.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7E1806" w:rsidRPr="003629A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«Сохранение и эффективное использование культурного наследия Муромцевского района» планируется выполнение следующих мероприятий:</w:t>
      </w:r>
    </w:p>
    <w:p w:rsidR="007E1806" w:rsidRPr="002F32BB" w:rsidRDefault="007E1806" w:rsidP="007E1806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т.ч. </w:t>
      </w:r>
      <w:r w:rsidRPr="002F32BB">
        <w:t>формирование и ведение реестров библиотечных и музейных фондов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Муромцевского района.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7E1806" w:rsidRPr="002F32BB" w:rsidRDefault="007E1806" w:rsidP="007E180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7E1806" w:rsidRPr="002F32B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7E1806" w:rsidRPr="002F32B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7E1806" w:rsidRPr="002F32BB" w:rsidRDefault="007E1806" w:rsidP="007E1806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t xml:space="preserve">В рамках основного мероприятия «Административно-хозяйственное </w:t>
      </w:r>
      <w:r w:rsidRPr="002F32BB">
        <w:rPr>
          <w:b/>
        </w:rPr>
        <w:lastRenderedPageBreak/>
        <w:t>обслуживание учреждений культуры» планируется выполнение следующих мероприятий: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7E1806" w:rsidRPr="002F32BB" w:rsidRDefault="007E1806" w:rsidP="007E18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7E1806" w:rsidRPr="002F32BB" w:rsidRDefault="007E1806" w:rsidP="007E18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7E1806" w:rsidRPr="002F32BB" w:rsidRDefault="007E1806" w:rsidP="007E180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7E1806" w:rsidRPr="002F32BB" w:rsidRDefault="007E1806" w:rsidP="007E180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5.3 Приобретение и обслуживание охранной, пожарной сигнализации, систем видеонаблюдения, контроля доступа и иных аналогичных систем, в т.ч. пусконаладочные, монтажные работы в муниципальных учреждениях культуры.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7E1806" w:rsidRPr="002F32BB" w:rsidRDefault="007E1806" w:rsidP="007E180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</w:t>
      </w:r>
      <w:proofErr w:type="spellStart"/>
      <w:r w:rsidRPr="002F32BB">
        <w:t>культурно-досугового</w:t>
      </w:r>
      <w:proofErr w:type="spellEnd"/>
      <w:r w:rsidRPr="002F32BB">
        <w:t xml:space="preserve"> типа в сельской местности (Капитальный ремонт)  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5.8 Строительство, реконструкция зданий, сооружений муниципальных учреждений культуры, в т.ч. проектно-сметные документации.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7E1806" w:rsidRPr="002F32B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5.11 Государственная поддержка отрасли культуры (приобретение музыкальных 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Муромцевского муниципального района </w:t>
      </w:r>
      <w:r w:rsidRPr="0037394B">
        <w:t>Омской области.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7E1806" w:rsidRPr="0037394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lastRenderedPageBreak/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7E1806" w:rsidRPr="000C3C5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 в которых сделан ремонт кровли.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Муромцевского муниципального района Омской области.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7E1806" w:rsidRPr="000F1FD1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7E1806" w:rsidRPr="000F1FD1" w:rsidRDefault="007E1806" w:rsidP="007E1806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7E1806" w:rsidRPr="003629AB" w:rsidRDefault="007E1806" w:rsidP="007E1806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7E1806" w:rsidRPr="003629AB" w:rsidRDefault="007E1806" w:rsidP="007E1806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«Продвижение туристских ресурсов Муромцевского района на внутреннем и международном туристских рынках»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8.1 Внедрение инновационных технологий и инструментов по продвижению туристского продукта Муромцевского района  (специализированные мероприятия, рекламно-информационные туры, интернет – ресурсы)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Муромцевского муниципального района, в том числе установка рекламных щитов со схемами 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29AB">
        <w:rPr>
          <w:rFonts w:ascii="Times New Roman" w:hAnsi="Times New Roman"/>
          <w:b/>
          <w:sz w:val="24"/>
          <w:szCs w:val="24"/>
        </w:rPr>
        <w:t xml:space="preserve">В рамках основного мероприятия «Осуществление информационно-идеологических мероприятий по противодействию идеологии терроризма и </w:t>
      </w:r>
      <w:r w:rsidRPr="003629AB">
        <w:rPr>
          <w:rFonts w:ascii="Times New Roman" w:hAnsi="Times New Roman"/>
          <w:b/>
          <w:sz w:val="24"/>
          <w:szCs w:val="24"/>
        </w:rPr>
        <w:lastRenderedPageBreak/>
        <w:t>проявления экстремизма» планируется выполнение следующих мероприятий: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7E1806" w:rsidRPr="003629AB" w:rsidRDefault="007E1806" w:rsidP="007E1806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1 344 938 465,23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201 926 334,28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146 800 897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1 233 408 535,77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167 280 000,00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146 800 897,00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146 500 897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105 320 377,92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33 564 631,83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ь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6 209 551,54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E1806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1 081 702,45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5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7E1806" w:rsidRPr="003629AB" w:rsidRDefault="007E1806" w:rsidP="007E18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7E1806" w:rsidRPr="003629AB" w:rsidRDefault="007E1806" w:rsidP="007E18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7E1806" w:rsidRPr="003629AB" w:rsidRDefault="007E1806" w:rsidP="007E180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7E1806" w:rsidRPr="003629AB" w:rsidRDefault="007E1806" w:rsidP="007E180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 xml:space="preserve">Увеличение количества населения, участвующего в платных </w:t>
      </w:r>
      <w:proofErr w:type="spellStart"/>
      <w:r w:rsidRPr="003629AB">
        <w:t>досуговых</w:t>
      </w:r>
      <w:proofErr w:type="spellEnd"/>
      <w:r w:rsidRPr="003629AB">
        <w:t xml:space="preserve"> мероприятиях, в том числе по годам: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2022 год – 9216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2023 год – 9308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2024 год – 9401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2025 год – 9495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2026 год – 9589 человек 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2027 год – 9684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2028 год – 9780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2029 год – 9877 человек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>2030 год – 9975 человек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2030 год – 100%</w:t>
      </w:r>
    </w:p>
    <w:p w:rsidR="007E1806" w:rsidRPr="003629AB" w:rsidRDefault="007E1806" w:rsidP="007E18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7E1806" w:rsidRPr="003629AB" w:rsidRDefault="007E1806" w:rsidP="007E1806">
      <w:pPr>
        <w:pStyle w:val="a3"/>
        <w:ind w:left="0" w:firstLine="720"/>
        <w:jc w:val="both"/>
      </w:pPr>
      <w:r w:rsidRPr="003629AB">
        <w:t>2022 год – 13  единиц</w:t>
      </w:r>
    </w:p>
    <w:p w:rsidR="007E1806" w:rsidRPr="003629AB" w:rsidRDefault="007E1806" w:rsidP="007E1806">
      <w:pPr>
        <w:pStyle w:val="a3"/>
        <w:ind w:left="0" w:firstLine="720"/>
        <w:jc w:val="both"/>
      </w:pPr>
      <w:r w:rsidRPr="003629AB">
        <w:t>2023 год – 15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7E1806" w:rsidRPr="003629AB" w:rsidRDefault="007E1806" w:rsidP="007E1806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7E1806" w:rsidRPr="003629AB" w:rsidRDefault="007E1806" w:rsidP="007E180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7E1806" w:rsidRPr="003629AB" w:rsidRDefault="007E1806" w:rsidP="007E1806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7E1806" w:rsidRPr="003629AB" w:rsidRDefault="007E1806" w:rsidP="007E1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Общее руководство и контроль за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Координатором Подпрограммы является Комитет культуры Администрации Муромцевского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рамках реализации Подпрограммы осуществляется взаимодействие со структурными подразделениями Администрации Муромцевского муниципального района, администрациями городского и сельских поселений, муниципальными учреждениями культуры и образования Муромцевского района, Советом ветеранов Муромцевского района. Участниками реализации Подпрограммы является все население Муромцевского района.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>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области, их формирования и реализации, утвержденным постановлением Администрации Муромцевского муниципального района Омской области от 18.07.2013 № 381-п,   в сроки до 1 мая года, следующего за отчетным.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района.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7E1806" w:rsidRPr="003629AB" w:rsidRDefault="007E1806" w:rsidP="007E18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4963"/>
      </w:tblGrid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7E1806" w:rsidRPr="003629AB" w:rsidTr="00CF4163">
        <w:tc>
          <w:tcPr>
            <w:tcW w:w="9571" w:type="dxa"/>
            <w:gridSpan w:val="2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Существенное, (по сравнению с утвержденным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7E1806" w:rsidRPr="003629AB" w:rsidTr="00CF4163">
        <w:tc>
          <w:tcPr>
            <w:tcW w:w="9571" w:type="dxa"/>
            <w:gridSpan w:val="2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вовлеченных в процесс реализации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Подпрограммы о ходе ее реализации.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Муромцевского района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7E180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7E1806" w:rsidRPr="003629AB" w:rsidTr="00CF4163">
        <w:tc>
          <w:tcPr>
            <w:tcW w:w="4608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существующего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турпотока</w:t>
            </w:r>
            <w:proofErr w:type="spellEnd"/>
          </w:p>
        </w:tc>
        <w:tc>
          <w:tcPr>
            <w:tcW w:w="4963" w:type="dxa"/>
          </w:tcPr>
          <w:p w:rsidR="007E1806" w:rsidRPr="003629AB" w:rsidRDefault="007E1806" w:rsidP="00CF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предпочтений туристов, активизация продвижения Муромцевского муниципального района на туристических рынках</w:t>
            </w:r>
          </w:p>
        </w:tc>
      </w:tr>
    </w:tbl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180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1806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5229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0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7E180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E1806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7E180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6738</Words>
  <Characters>38407</Characters>
  <Application>Microsoft Office Word</Application>
  <DocSecurity>0</DocSecurity>
  <Lines>320</Lines>
  <Paragraphs>90</Paragraphs>
  <ScaleCrop>false</ScaleCrop>
  <Company>Krokoz™</Company>
  <LinksUpToDate>false</LinksUpToDate>
  <CharactersWithSpaces>45055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1</cp:revision>
  <dcterms:created xsi:type="dcterms:W3CDTF">2024-02-16T12:28:00Z</dcterms:created>
  <dcterms:modified xsi:type="dcterms:W3CDTF">2024-02-16T12:29:00Z</dcterms:modified>
</cp:coreProperties>
</file>