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Приложение к постановлению Администрации Муромцевского муниципального района Омской области от </w:t>
      </w:r>
      <w:r w:rsidR="008C4B3B">
        <w:rPr>
          <w:rFonts w:ascii="Times New Roman" w:hAnsi="Times New Roman"/>
          <w:sz w:val="24"/>
          <w:szCs w:val="24"/>
        </w:rPr>
        <w:t>01.03</w:t>
      </w:r>
      <w:r>
        <w:rPr>
          <w:rFonts w:ascii="Times New Roman" w:hAnsi="Times New Roman"/>
          <w:sz w:val="24"/>
          <w:szCs w:val="24"/>
        </w:rPr>
        <w:t xml:space="preserve">.2024 г. № </w:t>
      </w:r>
      <w:r w:rsidR="004161A1">
        <w:rPr>
          <w:rFonts w:ascii="Times New Roman" w:hAnsi="Times New Roman"/>
          <w:sz w:val="24"/>
          <w:szCs w:val="24"/>
        </w:rPr>
        <w:t>80</w:t>
      </w:r>
      <w:r>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 КЭиУМС)</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r w:rsidR="00721440" w:rsidRPr="00113F14">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Муромцевское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0F1FD1" w:rsidRPr="000F1FD1" w:rsidRDefault="000F1FD1" w:rsidP="000F1FD1">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w:t>
            </w:r>
            <w:r w:rsidR="009C569C">
              <w:rPr>
                <w:rFonts w:ascii="Times New Roman" w:hAnsi="Times New Roman"/>
                <w:sz w:val="24"/>
                <w:szCs w:val="24"/>
              </w:rPr>
              <w:t xml:space="preserve">6 </w:t>
            </w:r>
            <w:r w:rsidR="008C4B3B">
              <w:rPr>
                <w:rFonts w:ascii="Times New Roman" w:hAnsi="Times New Roman"/>
                <w:sz w:val="24"/>
                <w:szCs w:val="24"/>
              </w:rPr>
              <w:t>497 562 655,87</w:t>
            </w:r>
            <w:r w:rsidRPr="000F1FD1">
              <w:rPr>
                <w:rFonts w:ascii="Times New Roman" w:hAnsi="Times New Roman"/>
                <w:sz w:val="24"/>
                <w:szCs w:val="24"/>
              </w:rPr>
              <w:t xml:space="preserve"> рубл</w:t>
            </w:r>
            <w:r w:rsidR="004F0906">
              <w:rPr>
                <w:rFonts w:ascii="Times New Roman" w:hAnsi="Times New Roman"/>
                <w:sz w:val="24"/>
                <w:szCs w:val="24"/>
              </w:rPr>
              <w:t>ь</w:t>
            </w:r>
            <w:r w:rsidRPr="000F1FD1">
              <w:rPr>
                <w:rFonts w:ascii="Times New Roman" w:hAnsi="Times New Roman"/>
                <w:sz w:val="24"/>
                <w:szCs w:val="24"/>
              </w:rPr>
              <w:t>, в том числе:</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789 137 259,59</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8C4B3B">
              <w:rPr>
                <w:rFonts w:ascii="Times New Roman" w:hAnsi="Times New Roman"/>
                <w:sz w:val="24"/>
                <w:szCs w:val="24"/>
              </w:rPr>
              <w:t>875 418 374,66</w:t>
            </w:r>
            <w:r w:rsidR="009C569C">
              <w:rPr>
                <w:rFonts w:ascii="Times New Roman" w:hAnsi="Times New Roman"/>
                <w:sz w:val="24"/>
                <w:szCs w:val="24"/>
              </w:rPr>
              <w:t xml:space="preserve"> </w:t>
            </w:r>
            <w:r w:rsidRPr="000F1FD1">
              <w:rPr>
                <w:rFonts w:ascii="Times New Roman" w:hAnsi="Times New Roman"/>
                <w:sz w:val="24"/>
                <w:szCs w:val="24"/>
              </w:rPr>
              <w:t>рубл</w:t>
            </w:r>
            <w:r w:rsidR="008C4B3B">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744 107 158,04</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748 196 372,94</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9C569C">
              <w:rPr>
                <w:rFonts w:ascii="Times New Roman" w:hAnsi="Times New Roman"/>
                <w:sz w:val="24"/>
                <w:szCs w:val="24"/>
              </w:rPr>
              <w:t>647 457 810,07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9C569C">
              <w:rPr>
                <w:rFonts w:ascii="Times New Roman" w:hAnsi="Times New Roman"/>
                <w:sz w:val="24"/>
                <w:szCs w:val="24"/>
              </w:rPr>
              <w:t>649 315 791,07</w:t>
            </w:r>
            <w:r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9C569C">
              <w:rPr>
                <w:rFonts w:ascii="Times New Roman" w:hAnsi="Times New Roman"/>
                <w:sz w:val="24"/>
                <w:szCs w:val="24"/>
              </w:rPr>
              <w:t>649 315 791,07</w:t>
            </w:r>
            <w:r w:rsidR="00EF24CA"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lastRenderedPageBreak/>
              <w:t xml:space="preserve">2030 год – </w:t>
            </w:r>
            <w:r w:rsidR="009C569C">
              <w:rPr>
                <w:rFonts w:ascii="Times New Roman" w:hAnsi="Times New Roman"/>
                <w:sz w:val="24"/>
                <w:szCs w:val="24"/>
              </w:rPr>
              <w:t>649 315 791,07</w:t>
            </w:r>
            <w:r w:rsidR="009C569C"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sidR="009C569C">
              <w:rPr>
                <w:rFonts w:ascii="Times New Roman" w:hAnsi="Times New Roman"/>
                <w:sz w:val="24"/>
                <w:szCs w:val="24"/>
              </w:rPr>
              <w:t xml:space="preserve">3 </w:t>
            </w:r>
            <w:r w:rsidR="008C4B3B">
              <w:rPr>
                <w:rFonts w:ascii="Times New Roman" w:hAnsi="Times New Roman"/>
                <w:sz w:val="24"/>
                <w:szCs w:val="24"/>
              </w:rPr>
              <w:t>380 279 016</w:t>
            </w:r>
            <w:r w:rsidR="002B242C">
              <w:rPr>
                <w:rFonts w:ascii="Times New Roman" w:hAnsi="Times New Roman"/>
                <w:sz w:val="24"/>
                <w:szCs w:val="24"/>
              </w:rPr>
              <w:t>,49</w:t>
            </w:r>
            <w:r w:rsidR="00C814D0">
              <w:rPr>
                <w:rFonts w:ascii="Times New Roman" w:hAnsi="Times New Roman"/>
                <w:sz w:val="24"/>
                <w:szCs w:val="24"/>
              </w:rPr>
              <w:t xml:space="preserve"> </w:t>
            </w:r>
            <w:r w:rsidRPr="000F1FD1">
              <w:rPr>
                <w:rFonts w:ascii="Times New Roman" w:hAnsi="Times New Roman"/>
                <w:sz w:val="24"/>
                <w:szCs w:val="24"/>
              </w:rPr>
              <w:t>рубл</w:t>
            </w:r>
            <w:r w:rsidR="00BB3F6D">
              <w:rPr>
                <w:rFonts w:ascii="Times New Roman" w:hAnsi="Times New Roman"/>
                <w:sz w:val="24"/>
                <w:szCs w:val="24"/>
              </w:rPr>
              <w:t>я</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468 738 924,84</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2B242C">
              <w:rPr>
                <w:rFonts w:ascii="Times New Roman" w:hAnsi="Times New Roman"/>
                <w:sz w:val="24"/>
                <w:szCs w:val="24"/>
              </w:rPr>
              <w:t xml:space="preserve">437 </w:t>
            </w:r>
            <w:r w:rsidR="008C4B3B">
              <w:rPr>
                <w:rFonts w:ascii="Times New Roman" w:hAnsi="Times New Roman"/>
                <w:sz w:val="24"/>
                <w:szCs w:val="24"/>
              </w:rPr>
              <w:t>917 858</w:t>
            </w:r>
            <w:r w:rsidR="002B242C">
              <w:rPr>
                <w:rFonts w:ascii="Times New Roman" w:hAnsi="Times New Roman"/>
                <w:sz w:val="24"/>
                <w:szCs w:val="24"/>
              </w:rPr>
              <w:t>,12</w:t>
            </w:r>
            <w:r w:rsidRPr="000F1FD1">
              <w:rPr>
                <w:rFonts w:ascii="Times New Roman" w:hAnsi="Times New Roman"/>
                <w:sz w:val="24"/>
                <w:szCs w:val="24"/>
              </w:rPr>
              <w:t xml:space="preserve"> рубл</w:t>
            </w:r>
            <w:r w:rsidR="00BC7FE5">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390 858 518,42</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391 743 723,78</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2B242C">
              <w:rPr>
                <w:rFonts w:ascii="Times New Roman" w:hAnsi="Times New Roman"/>
                <w:sz w:val="24"/>
                <w:szCs w:val="24"/>
              </w:rPr>
              <w:t>383 468 729,38</w:t>
            </w:r>
            <w:r w:rsidRPr="000F1FD1">
              <w:rPr>
                <w:rFonts w:ascii="Times New Roman" w:hAnsi="Times New Roman"/>
                <w:sz w:val="24"/>
                <w:szCs w:val="24"/>
              </w:rPr>
              <w:t xml:space="preserve">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32 170 694,73</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2B242C">
              <w:rPr>
                <w:rFonts w:ascii="Times New Roman" w:hAnsi="Times New Roman"/>
                <w:sz w:val="24"/>
                <w:szCs w:val="24"/>
              </w:rPr>
              <w:t>134 768 879,60</w:t>
            </w:r>
            <w:r w:rsidRPr="000F1FD1">
              <w:rPr>
                <w:rFonts w:ascii="Times New Roman" w:hAnsi="Times New Roman"/>
                <w:sz w:val="24"/>
                <w:szCs w:val="24"/>
              </w:rPr>
              <w:t xml:space="preserve"> рубл</w:t>
            </w:r>
            <w:r w:rsidR="009C569C">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30 942 929,15</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31 520 940,94</w:t>
            </w:r>
            <w:r w:rsidR="00EF24CA" w:rsidRPr="000F1FD1">
              <w:rPr>
                <w:rFonts w:ascii="Times New Roman" w:hAnsi="Times New Roman"/>
                <w:sz w:val="24"/>
                <w:szCs w:val="24"/>
              </w:rPr>
              <w:t xml:space="preserve"> рубл</w:t>
            </w:r>
            <w:r w:rsidR="00EF24CA">
              <w:rPr>
                <w:rFonts w:ascii="Times New Roman" w:hAnsi="Times New Roman"/>
                <w:sz w:val="24"/>
                <w:szCs w:val="24"/>
              </w:rPr>
              <w:t>ей</w:t>
            </w:r>
            <w:r w:rsidR="00EF24CA"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9C569C">
              <w:rPr>
                <w:rFonts w:ascii="Times New Roman" w:hAnsi="Times New Roman"/>
                <w:sz w:val="24"/>
                <w:szCs w:val="24"/>
              </w:rPr>
              <w:t>29 826 985,50</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9C569C">
              <w:rPr>
                <w:rFonts w:ascii="Times New Roman" w:hAnsi="Times New Roman"/>
                <w:sz w:val="24"/>
                <w:szCs w:val="24"/>
              </w:rPr>
              <w:t>29 826 985,50</w:t>
            </w:r>
            <w:r w:rsidR="00EF24CA" w:rsidRPr="000F1FD1">
              <w:rPr>
                <w:rFonts w:ascii="Times New Roman" w:hAnsi="Times New Roman"/>
                <w:sz w:val="24"/>
                <w:szCs w:val="24"/>
              </w:rPr>
              <w:t xml:space="preserve"> </w:t>
            </w:r>
            <w:r w:rsidRPr="000F1FD1">
              <w:rPr>
                <w:rFonts w:ascii="Times New Roman" w:hAnsi="Times New Roman"/>
                <w:sz w:val="24"/>
                <w:szCs w:val="24"/>
              </w:rPr>
              <w:t>рублей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9C569C">
              <w:rPr>
                <w:rFonts w:ascii="Times New Roman" w:hAnsi="Times New Roman"/>
                <w:sz w:val="24"/>
                <w:szCs w:val="24"/>
              </w:rPr>
              <w:t>29 826 985,50</w:t>
            </w:r>
            <w:r w:rsidR="009C569C"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2030 год – </w:t>
            </w:r>
            <w:r w:rsidR="009C569C">
              <w:rPr>
                <w:rFonts w:ascii="Times New Roman" w:hAnsi="Times New Roman"/>
                <w:sz w:val="24"/>
                <w:szCs w:val="24"/>
              </w:rPr>
              <w:t>29 826 985,50</w:t>
            </w:r>
            <w:r w:rsidR="009C569C"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w:t>
            </w:r>
            <w:r w:rsidR="002B242C">
              <w:rPr>
                <w:rFonts w:ascii="Times New Roman" w:hAnsi="Times New Roman"/>
                <w:sz w:val="24"/>
                <w:szCs w:val="24"/>
              </w:rPr>
              <w:t xml:space="preserve">733 </w:t>
            </w:r>
            <w:r w:rsidR="008C4B3B">
              <w:rPr>
                <w:rFonts w:ascii="Times New Roman" w:hAnsi="Times New Roman"/>
                <w:sz w:val="24"/>
                <w:szCs w:val="24"/>
              </w:rPr>
              <w:t>814 910,00</w:t>
            </w:r>
            <w:r w:rsidRPr="000F1FD1">
              <w:rPr>
                <w:rFonts w:ascii="Times New Roman" w:hAnsi="Times New Roman"/>
                <w:sz w:val="24"/>
                <w:szCs w:val="24"/>
              </w:rPr>
              <w:t xml:space="preserve"> рубл</w:t>
            </w:r>
            <w:r w:rsidR="008C4B3B">
              <w:rPr>
                <w:rFonts w:ascii="Times New Roman" w:hAnsi="Times New Roman"/>
                <w:sz w:val="24"/>
                <w:szCs w:val="24"/>
              </w:rPr>
              <w:t>ей</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288 227 640,02</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2B242C">
              <w:rPr>
                <w:rFonts w:ascii="Times New Roman" w:hAnsi="Times New Roman"/>
                <w:sz w:val="24"/>
                <w:szCs w:val="24"/>
              </w:rPr>
              <w:t xml:space="preserve">302 </w:t>
            </w:r>
            <w:r w:rsidR="008C4B3B">
              <w:rPr>
                <w:rFonts w:ascii="Times New Roman" w:hAnsi="Times New Roman"/>
                <w:sz w:val="24"/>
                <w:szCs w:val="24"/>
              </w:rPr>
              <w:t>731 636,94</w:t>
            </w:r>
            <w:r w:rsidRPr="000F1FD1">
              <w:rPr>
                <w:rFonts w:ascii="Times New Roman" w:hAnsi="Times New Roman"/>
                <w:sz w:val="24"/>
                <w:szCs w:val="24"/>
              </w:rPr>
              <w:t xml:space="preserve"> рубл</w:t>
            </w:r>
            <w:r w:rsidR="008C4B3B">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322 </w:t>
            </w:r>
            <w:r w:rsidR="009C569C">
              <w:rPr>
                <w:rFonts w:ascii="Times New Roman" w:hAnsi="Times New Roman"/>
                <w:sz w:val="24"/>
                <w:szCs w:val="24"/>
              </w:rPr>
              <w:t>305 710,47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324 931 708,22</w:t>
            </w:r>
            <w:r w:rsidRPr="000F1FD1">
              <w:rPr>
                <w:rFonts w:ascii="Times New Roman" w:hAnsi="Times New Roman"/>
                <w:sz w:val="24"/>
                <w:szCs w:val="24"/>
              </w:rPr>
              <w:t xml:space="preserve"> рубл</w:t>
            </w:r>
            <w:r w:rsidR="009C569C">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A06D8F" w:rsidRPr="000F1FD1" w:rsidRDefault="00A06D8F" w:rsidP="000F1FD1">
            <w:pPr>
              <w:spacing w:after="0" w:line="240" w:lineRule="auto"/>
              <w:jc w:val="both"/>
              <w:rPr>
                <w:rFonts w:ascii="Times New Roman" w:hAnsi="Times New Roman"/>
                <w:sz w:val="24"/>
                <w:szCs w:val="24"/>
              </w:rPr>
            </w:pPr>
            <w:r w:rsidRPr="000F1FD1">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0F1FD1">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Муромцевский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Муромцевском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«Муромцевский лицей», МБОУ «Муромцевская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подпроекта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Муромцевском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Камышино-Курское.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Для решения задачи интеграции детей с ОВЗ в муниципальном районе осуществляет деятельность Муромцевский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период реализации муниципальной программы планируется проведение капитального ремонта районного Дома культура в р.п. Муромцево, ДК в с. Гурово.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8C4B3B" w:rsidRPr="000F1FD1" w:rsidRDefault="008C4B3B" w:rsidP="008C4B3B">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w:t>
      </w:r>
      <w:r>
        <w:rPr>
          <w:rFonts w:ascii="Times New Roman" w:hAnsi="Times New Roman"/>
          <w:sz w:val="24"/>
          <w:szCs w:val="24"/>
        </w:rPr>
        <w:t>6 497 562 655,87</w:t>
      </w:r>
      <w:r w:rsidRPr="000F1FD1">
        <w:rPr>
          <w:rFonts w:ascii="Times New Roman" w:hAnsi="Times New Roman"/>
          <w:sz w:val="24"/>
          <w:szCs w:val="24"/>
        </w:rPr>
        <w:t xml:space="preserve"> рубл</w:t>
      </w:r>
      <w:r>
        <w:rPr>
          <w:rFonts w:ascii="Times New Roman" w:hAnsi="Times New Roman"/>
          <w:sz w:val="24"/>
          <w:szCs w:val="24"/>
        </w:rPr>
        <w:t>ь</w:t>
      </w:r>
      <w:r w:rsidRPr="000F1FD1">
        <w:rPr>
          <w:rFonts w:ascii="Times New Roman" w:hAnsi="Times New Roman"/>
          <w:sz w:val="24"/>
          <w:szCs w:val="24"/>
        </w:rPr>
        <w:t>, в том числе:</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789 137 259,59</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 xml:space="preserve">875 418 374,66 </w:t>
      </w:r>
      <w:r w:rsidRPr="000F1FD1">
        <w:rPr>
          <w:rFonts w:ascii="Times New Roman" w:hAnsi="Times New Roman"/>
          <w:sz w:val="24"/>
          <w:szCs w:val="24"/>
        </w:rPr>
        <w:t>рубл</w:t>
      </w:r>
      <w:r>
        <w:rPr>
          <w:rFonts w:ascii="Times New Roman" w:hAnsi="Times New Roman"/>
          <w:sz w:val="24"/>
          <w:szCs w:val="24"/>
        </w:rPr>
        <w:t>я</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744 107 158,04</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748 196 372,94</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647 457 810,07</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Pr>
          <w:rFonts w:ascii="Times New Roman" w:hAnsi="Times New Roman"/>
          <w:sz w:val="24"/>
          <w:szCs w:val="24"/>
        </w:rPr>
        <w:t xml:space="preserve">3 380 279 016,49 </w:t>
      </w:r>
      <w:r w:rsidRPr="000F1FD1">
        <w:rPr>
          <w:rFonts w:ascii="Times New Roman" w:hAnsi="Times New Roman"/>
          <w:sz w:val="24"/>
          <w:szCs w:val="24"/>
        </w:rPr>
        <w:t>рубл</w:t>
      </w:r>
      <w:r>
        <w:rPr>
          <w:rFonts w:ascii="Times New Roman" w:hAnsi="Times New Roman"/>
          <w:sz w:val="24"/>
          <w:szCs w:val="24"/>
        </w:rPr>
        <w:t>я</w:t>
      </w:r>
      <w:r w:rsidRPr="000F1FD1">
        <w:rPr>
          <w:rFonts w:ascii="Times New Roman" w:hAnsi="Times New Roman"/>
          <w:sz w:val="24"/>
          <w:szCs w:val="24"/>
        </w:rPr>
        <w:t xml:space="preserve">, в том числе: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468 738 924,84</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437 917 858,12</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390 858 518,42</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391 743 723,78</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lastRenderedPageBreak/>
        <w:t>2029 год – 311 317 242,70 рубля</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383 468 729,38</w:t>
      </w:r>
      <w:r w:rsidRPr="000F1FD1">
        <w:rPr>
          <w:rFonts w:ascii="Times New Roman" w:hAnsi="Times New Roman"/>
          <w:sz w:val="24"/>
          <w:szCs w:val="24"/>
        </w:rPr>
        <w:t xml:space="preserve">  рублей, в том числе: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32 170 694,73</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134 768 879,60</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30 942 929,15</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31 520 940,94</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29 826 985,50</w:t>
      </w:r>
      <w:r w:rsidRPr="000F1FD1">
        <w:rPr>
          <w:rFonts w:ascii="Times New Roman" w:hAnsi="Times New Roman"/>
          <w:sz w:val="24"/>
          <w:szCs w:val="24"/>
        </w:rPr>
        <w:t xml:space="preserve"> рублей</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w:t>
      </w:r>
      <w:r>
        <w:rPr>
          <w:rFonts w:ascii="Times New Roman" w:hAnsi="Times New Roman"/>
          <w:sz w:val="24"/>
          <w:szCs w:val="24"/>
        </w:rPr>
        <w:t>733 814 910,00</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в том числе: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288 227 640,02</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302 731 636,94</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2025 год – 322 </w:t>
      </w:r>
      <w:r>
        <w:rPr>
          <w:rFonts w:ascii="Times New Roman" w:hAnsi="Times New Roman"/>
          <w:sz w:val="24"/>
          <w:szCs w:val="24"/>
        </w:rPr>
        <w:t>305 710,47</w:t>
      </w:r>
      <w:r w:rsidRPr="000F1FD1">
        <w:rPr>
          <w:rFonts w:ascii="Times New Roman" w:hAnsi="Times New Roman"/>
          <w:sz w:val="24"/>
          <w:szCs w:val="24"/>
        </w:rPr>
        <w:t xml:space="preserve"> рублей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324 931 708,22</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8C4B3B" w:rsidRPr="000F1FD1" w:rsidRDefault="008C4B3B" w:rsidP="008C4B3B">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8C4B3B" w:rsidRDefault="008C4B3B" w:rsidP="008C4B3B">
      <w:pPr>
        <w:pStyle w:val="ConsPlusNonformat"/>
        <w:jc w:val="both"/>
        <w:rPr>
          <w:rFonts w:ascii="Times New Roman" w:hAnsi="Times New Roman"/>
          <w:sz w:val="24"/>
          <w:szCs w:val="24"/>
        </w:rPr>
      </w:pPr>
      <w:r w:rsidRPr="000F1FD1">
        <w:rPr>
          <w:rFonts w:ascii="Times New Roman" w:hAnsi="Times New Roman"/>
          <w:sz w:val="24"/>
          <w:szCs w:val="24"/>
        </w:rPr>
        <w:t>2030 год – 308 271 562,87 рублей</w:t>
      </w:r>
    </w:p>
    <w:p w:rsidR="00001D7F" w:rsidRPr="00113F14" w:rsidRDefault="00001D7F" w:rsidP="008C4B3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lastRenderedPageBreak/>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КЭиУМС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Организацию проведения работы по формированию отчетности о ходе реализации муниципальной программы и оценки ее эффективности осуществляет КЭиУМС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организации работы по качественному и своевременному исполнению муниципальной программы КЭиУМС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По итогам отчетного года КЭиУМС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Согласованные с КФиК результаты оценки эффективности реализации муниципальной программы вместе с пояснительной запиской к ним, а также отчетом КЭиУМС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 xml:space="preserve">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w:t>
      </w:r>
      <w:r w:rsidRPr="00113F14">
        <w:rPr>
          <w:rFonts w:ascii="Times New Roman" w:hAnsi="Times New Roman"/>
          <w:sz w:val="24"/>
          <w:szCs w:val="24"/>
        </w:rPr>
        <w:lastRenderedPageBreak/>
        <w:t>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BC7FE5" w:rsidRPr="00113F14" w:rsidRDefault="00BC7FE5" w:rsidP="00BC7FE5">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BC7FE5" w:rsidRPr="00113F14" w:rsidRDefault="00BC7FE5" w:rsidP="00BC7FE5">
      <w:pPr>
        <w:pStyle w:val="ConsPlusNonformat"/>
        <w:jc w:val="center"/>
        <w:rPr>
          <w:rFonts w:ascii="Times New Roman" w:hAnsi="Times New Roman" w:cs="Times New Roman"/>
          <w:b/>
          <w:sz w:val="24"/>
          <w:szCs w:val="24"/>
        </w:rPr>
      </w:pPr>
    </w:p>
    <w:p w:rsidR="00BC7FE5" w:rsidRPr="00113F14" w:rsidRDefault="00BC7FE5" w:rsidP="00BC7FE5">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BC7FE5" w:rsidRPr="00113F14" w:rsidRDefault="00BC7FE5" w:rsidP="00BC7FE5">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BC7FE5" w:rsidRPr="00113F14" w:rsidTr="009C569C">
        <w:tc>
          <w:tcPr>
            <w:tcW w:w="4077" w:type="dxa"/>
            <w:vAlign w:val="center"/>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BC7FE5" w:rsidRPr="00113F14" w:rsidRDefault="00BC7FE5" w:rsidP="009C569C">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BC7FE5" w:rsidRPr="00113F14" w:rsidTr="009C569C">
        <w:tc>
          <w:tcPr>
            <w:tcW w:w="4077" w:type="dxa"/>
            <w:vAlign w:val="center"/>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BC7FE5" w:rsidRPr="00113F14" w:rsidRDefault="00BC7FE5" w:rsidP="009C569C">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BC7FE5" w:rsidRPr="00113F14" w:rsidRDefault="00BC7FE5" w:rsidP="009C569C">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BC7FE5" w:rsidRPr="00113F14" w:rsidTr="009C569C">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C7FE5" w:rsidRPr="00113F14" w:rsidRDefault="00BC7FE5" w:rsidP="009C569C">
            <w:pPr>
              <w:pStyle w:val="ConsPlusCell"/>
              <w:jc w:val="both"/>
              <w:rPr>
                <w:sz w:val="24"/>
                <w:szCs w:val="24"/>
              </w:rPr>
            </w:pPr>
            <w:r w:rsidRPr="00113F14">
              <w:rPr>
                <w:sz w:val="24"/>
                <w:szCs w:val="24"/>
              </w:rPr>
              <w:t>Комитет образования</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BC7FE5" w:rsidRPr="00113F14" w:rsidRDefault="00BC7FE5" w:rsidP="009C569C">
            <w:pPr>
              <w:pStyle w:val="ConsPlusCell"/>
              <w:jc w:val="both"/>
              <w:rPr>
                <w:sz w:val="24"/>
                <w:szCs w:val="24"/>
              </w:rPr>
            </w:pPr>
            <w:r w:rsidRPr="00113F14">
              <w:rPr>
                <w:sz w:val="24"/>
                <w:szCs w:val="24"/>
              </w:rPr>
              <w:t>Комитет образования</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BC7FE5" w:rsidRPr="00113F14" w:rsidRDefault="00BC7FE5" w:rsidP="009C569C">
            <w:pPr>
              <w:pStyle w:val="ConsPlusCell"/>
              <w:jc w:val="both"/>
              <w:rPr>
                <w:sz w:val="24"/>
                <w:szCs w:val="24"/>
              </w:rPr>
            </w:pPr>
            <w:r w:rsidRPr="00113F14">
              <w:rPr>
                <w:sz w:val="24"/>
                <w:szCs w:val="24"/>
              </w:rPr>
              <w:t>2022-2030</w:t>
            </w:r>
          </w:p>
          <w:p w:rsidR="00BC7FE5" w:rsidRPr="00113F14" w:rsidRDefault="00BC7FE5" w:rsidP="009C569C">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BC7FE5" w:rsidRPr="00113F14" w:rsidTr="009C569C">
        <w:trPr>
          <w:trHeight w:val="401"/>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BC7FE5" w:rsidRPr="00113F14" w:rsidTr="009C569C">
        <w:trPr>
          <w:trHeight w:val="328"/>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BC7FE5" w:rsidRPr="00113F14" w:rsidTr="009C569C">
        <w:trPr>
          <w:trHeight w:val="647"/>
        </w:trPr>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4. Обеспечение проведения мероприятий по содействию патриотическому воспитанию граждан Российской Федерации.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BC7FE5" w:rsidRPr="00113F14" w:rsidTr="009C569C">
        <w:trPr>
          <w:trHeight w:val="701"/>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 xml:space="preserve">5 </w:t>
            </w:r>
            <w:r w:rsidR="00C814D0">
              <w:rPr>
                <w:rFonts w:ascii="Times New Roman" w:hAnsi="Times New Roman"/>
                <w:sz w:val="24"/>
                <w:szCs w:val="24"/>
              </w:rPr>
              <w:t xml:space="preserve">044 </w:t>
            </w:r>
            <w:r w:rsidR="008C4B3B">
              <w:rPr>
                <w:rFonts w:ascii="Times New Roman" w:hAnsi="Times New Roman"/>
                <w:sz w:val="24"/>
                <w:szCs w:val="24"/>
              </w:rPr>
              <w:t>724 380,31</w:t>
            </w:r>
            <w:r w:rsidRPr="00113F14">
              <w:rPr>
                <w:rFonts w:ascii="Times New Roman" w:hAnsi="Times New Roman"/>
                <w:sz w:val="24"/>
                <w:szCs w:val="24"/>
              </w:rPr>
              <w:t xml:space="preserve">  рублей,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9C569C">
              <w:rPr>
                <w:rFonts w:ascii="Times New Roman" w:hAnsi="Times New Roman"/>
                <w:sz w:val="24"/>
                <w:szCs w:val="24"/>
              </w:rPr>
              <w:t>641 782 338,06</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8C4B3B">
              <w:rPr>
                <w:rFonts w:ascii="Times New Roman" w:hAnsi="Times New Roman"/>
                <w:sz w:val="24"/>
                <w:szCs w:val="24"/>
              </w:rPr>
              <w:t>661 311 862,38</w:t>
            </w:r>
            <w:r w:rsidRPr="00113F14">
              <w:rPr>
                <w:rFonts w:ascii="Times New Roman" w:hAnsi="Times New Roman"/>
                <w:sz w:val="24"/>
                <w:szCs w:val="24"/>
              </w:rPr>
              <w:t xml:space="preserve"> рубл</w:t>
            </w:r>
            <w:r w:rsidR="008C4B3B">
              <w:rPr>
                <w:rFonts w:ascii="Times New Roman" w:hAnsi="Times New Roman"/>
                <w:sz w:val="24"/>
                <w:szCs w:val="24"/>
              </w:rPr>
              <w:t>я</w:t>
            </w:r>
            <w:r w:rsidRPr="00113F14">
              <w:rPr>
                <w:rFonts w:ascii="Times New Roman" w:hAnsi="Times New Roman"/>
                <w:sz w:val="24"/>
                <w:szCs w:val="24"/>
              </w:rPr>
              <w:t xml:space="preserve"> </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9C569C">
              <w:rPr>
                <w:rFonts w:ascii="Times New Roman" w:hAnsi="Times New Roman"/>
                <w:sz w:val="24"/>
                <w:szCs w:val="24"/>
              </w:rPr>
              <w:t>585 200 083,04</w:t>
            </w:r>
            <w:r w:rsidRPr="00113F14">
              <w:rPr>
                <w:rFonts w:ascii="Times New Roman" w:hAnsi="Times New Roman"/>
                <w:sz w:val="24"/>
                <w:szCs w:val="24"/>
              </w:rPr>
              <w:t xml:space="preserve"> рубл</w:t>
            </w:r>
            <w:r w:rsidR="009C569C">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9C569C">
              <w:rPr>
                <w:rFonts w:ascii="Times New Roman" w:hAnsi="Times New Roman"/>
                <w:sz w:val="24"/>
                <w:szCs w:val="24"/>
              </w:rPr>
              <w:t>585 592 830,44</w:t>
            </w:r>
            <w:r w:rsidRPr="00113F14">
              <w:rPr>
                <w:rFonts w:ascii="Times New Roman" w:hAnsi="Times New Roman"/>
                <w:sz w:val="24"/>
                <w:szCs w:val="24"/>
              </w:rPr>
              <w:t xml:space="preserve"> рубл</w:t>
            </w:r>
            <w:r w:rsidR="009C569C">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9C569C">
              <w:rPr>
                <w:rFonts w:ascii="Times New Roman" w:hAnsi="Times New Roman"/>
                <w:sz w:val="24"/>
                <w:szCs w:val="24"/>
              </w:rPr>
              <w:t>489 023 894,57</w:t>
            </w:r>
            <w:r w:rsidRPr="00113F14">
              <w:rPr>
                <w:rFonts w:ascii="Times New Roman" w:hAnsi="Times New Roman"/>
                <w:sz w:val="24"/>
                <w:szCs w:val="24"/>
              </w:rPr>
              <w:t xml:space="preserve"> рубл</w:t>
            </w:r>
            <w:r w:rsidR="009C569C">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9C569C">
              <w:rPr>
                <w:rFonts w:ascii="Times New Roman" w:hAnsi="Times New Roman"/>
                <w:sz w:val="24"/>
                <w:szCs w:val="24"/>
              </w:rPr>
              <w:t>490 881 875,57</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9C569C">
              <w:rPr>
                <w:rFonts w:ascii="Times New Roman" w:hAnsi="Times New Roman"/>
                <w:sz w:val="24"/>
                <w:szCs w:val="24"/>
              </w:rPr>
              <w:t>490 881 875,57</w:t>
            </w:r>
            <w:r w:rsidR="009C569C"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9C569C">
              <w:rPr>
                <w:rFonts w:ascii="Times New Roman" w:hAnsi="Times New Roman"/>
                <w:sz w:val="24"/>
                <w:szCs w:val="24"/>
              </w:rPr>
              <w:t>490 881 875,57</w:t>
            </w:r>
            <w:r w:rsidR="009C569C"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9C569C">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9C569C">
              <w:rPr>
                <w:rFonts w:ascii="Times New Roman" w:hAnsi="Times New Roman"/>
                <w:sz w:val="24"/>
                <w:szCs w:val="24"/>
              </w:rPr>
              <w:t>31 164 674,33</w:t>
            </w:r>
            <w:r w:rsidRPr="00113F14">
              <w:rPr>
                <w:rFonts w:ascii="Times New Roman" w:hAnsi="Times New Roman"/>
                <w:sz w:val="24"/>
                <w:szCs w:val="24"/>
              </w:rPr>
              <w:t xml:space="preserve"> рубля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9C569C">
              <w:rPr>
                <w:rFonts w:ascii="Times New Roman" w:hAnsi="Times New Roman"/>
                <w:sz w:val="24"/>
                <w:szCs w:val="24"/>
              </w:rPr>
              <w:t>133 687 177,15</w:t>
            </w:r>
            <w:r w:rsidRPr="00113F14">
              <w:rPr>
                <w:rFonts w:ascii="Times New Roman" w:hAnsi="Times New Roman"/>
                <w:sz w:val="24"/>
                <w:szCs w:val="24"/>
              </w:rPr>
              <w:t xml:space="preserve"> рубл</w:t>
            </w:r>
            <w:r w:rsidR="009C569C">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0042F4">
              <w:rPr>
                <w:rFonts w:ascii="Times New Roman" w:hAnsi="Times New Roman"/>
                <w:sz w:val="24"/>
                <w:szCs w:val="24"/>
              </w:rPr>
              <w:t>30 942 929,15</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0042F4">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0042F4">
              <w:rPr>
                <w:rFonts w:ascii="Times New Roman" w:hAnsi="Times New Roman"/>
                <w:sz w:val="24"/>
                <w:szCs w:val="24"/>
              </w:rPr>
              <w:t>29 826 985,50</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sidR="008C4B3B">
              <w:rPr>
                <w:rFonts w:ascii="Times New Roman" w:hAnsi="Times New Roman"/>
                <w:sz w:val="24"/>
                <w:szCs w:val="24"/>
              </w:rPr>
              <w:t>269 150 014</w:t>
            </w:r>
            <w:r w:rsidR="00C814D0">
              <w:rPr>
                <w:rFonts w:ascii="Times New Roman" w:hAnsi="Times New Roman"/>
                <w:sz w:val="24"/>
                <w:szCs w:val="24"/>
              </w:rPr>
              <w:t>,97</w:t>
            </w:r>
            <w:r w:rsidRPr="00113F14">
              <w:rPr>
                <w:rFonts w:ascii="Times New Roman" w:hAnsi="Times New Roman"/>
                <w:sz w:val="24"/>
                <w:szCs w:val="24"/>
              </w:rPr>
              <w:t xml:space="preserve"> рубл</w:t>
            </w:r>
            <w:r w:rsidR="00C814D0">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0042F4">
              <w:rPr>
                <w:rFonts w:ascii="Times New Roman" w:hAnsi="Times New Roman"/>
                <w:sz w:val="24"/>
                <w:szCs w:val="24"/>
              </w:rPr>
              <w:t>429 333 741,24</w:t>
            </w:r>
            <w:r w:rsidRPr="00113F14">
              <w:rPr>
                <w:rFonts w:ascii="Times New Roman" w:hAnsi="Times New Roman"/>
                <w:sz w:val="24"/>
                <w:szCs w:val="24"/>
              </w:rPr>
              <w:t xml:space="preserve"> рубль</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8C4B3B">
              <w:rPr>
                <w:rFonts w:ascii="Times New Roman" w:hAnsi="Times New Roman"/>
                <w:sz w:val="24"/>
                <w:szCs w:val="24"/>
              </w:rPr>
              <w:t>404 250 226</w:t>
            </w:r>
            <w:r w:rsidR="00C814D0">
              <w:rPr>
                <w:rFonts w:ascii="Times New Roman" w:hAnsi="Times New Roman"/>
                <w:sz w:val="24"/>
                <w:szCs w:val="24"/>
              </w:rPr>
              <w:t>,29</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0042F4">
              <w:rPr>
                <w:rFonts w:ascii="Times New Roman" w:hAnsi="Times New Roman"/>
                <w:sz w:val="24"/>
                <w:szCs w:val="24"/>
              </w:rPr>
              <w:t>390 858 518,42</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0042F4">
              <w:rPr>
                <w:rFonts w:ascii="Times New Roman" w:hAnsi="Times New Roman"/>
                <w:sz w:val="24"/>
                <w:szCs w:val="24"/>
              </w:rPr>
              <w:t>390 747 256,28</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0042F4">
              <w:rPr>
                <w:rFonts w:ascii="Times New Roman" w:hAnsi="Times New Roman"/>
                <w:sz w:val="24"/>
                <w:szCs w:val="24"/>
              </w:rPr>
              <w:t>310 320 775,20</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2030 год – 310 320 775,20 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sidR="000042F4">
              <w:rPr>
                <w:rFonts w:ascii="Times New Roman" w:hAnsi="Times New Roman"/>
                <w:sz w:val="24"/>
                <w:szCs w:val="24"/>
              </w:rPr>
              <w:t xml:space="preserve">399 </w:t>
            </w:r>
            <w:r w:rsidR="008C4B3B">
              <w:rPr>
                <w:rFonts w:ascii="Times New Roman" w:hAnsi="Times New Roman"/>
                <w:sz w:val="24"/>
                <w:szCs w:val="24"/>
              </w:rPr>
              <w:t>163 210,97</w:t>
            </w:r>
            <w:r w:rsidRPr="00113F14">
              <w:rPr>
                <w:rFonts w:ascii="Times New Roman" w:hAnsi="Times New Roman"/>
                <w:sz w:val="24"/>
                <w:szCs w:val="24"/>
              </w:rPr>
              <w:t xml:space="preserve"> рубл</w:t>
            </w:r>
            <w:r w:rsidR="00C814D0">
              <w:rPr>
                <w:rFonts w:ascii="Times New Roman" w:hAnsi="Times New Roman"/>
                <w:sz w:val="24"/>
                <w:szCs w:val="24"/>
              </w:rPr>
              <w:t>ей</w:t>
            </w:r>
            <w:r w:rsidRPr="00113F14">
              <w:rPr>
                <w:rFonts w:ascii="Times New Roman" w:hAnsi="Times New Roman"/>
                <w:sz w:val="24"/>
                <w:szCs w:val="24"/>
              </w:rPr>
              <w:t xml:space="preserve">, в том числе: </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0042F4">
              <w:rPr>
                <w:rFonts w:ascii="Times New Roman" w:hAnsi="Times New Roman"/>
                <w:sz w:val="24"/>
                <w:szCs w:val="24"/>
              </w:rPr>
              <w:t>181 283 922,49</w:t>
            </w:r>
            <w:r w:rsidRPr="00113F14">
              <w:rPr>
                <w:rFonts w:ascii="Times New Roman" w:hAnsi="Times New Roman"/>
                <w:sz w:val="24"/>
                <w:szCs w:val="24"/>
              </w:rPr>
              <w:t xml:space="preserve"> рубл</w:t>
            </w:r>
            <w:r w:rsidR="000042F4">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C814D0">
              <w:rPr>
                <w:rFonts w:ascii="Times New Roman" w:hAnsi="Times New Roman"/>
                <w:sz w:val="24"/>
                <w:szCs w:val="24"/>
              </w:rPr>
              <w:t xml:space="preserve">123 </w:t>
            </w:r>
            <w:r w:rsidR="008C4B3B">
              <w:rPr>
                <w:rFonts w:ascii="Times New Roman" w:hAnsi="Times New Roman"/>
                <w:sz w:val="24"/>
                <w:szCs w:val="24"/>
              </w:rPr>
              <w:t>374 458,94</w:t>
            </w:r>
            <w:r w:rsidRPr="00113F14">
              <w:rPr>
                <w:rFonts w:ascii="Times New Roman" w:hAnsi="Times New Roman"/>
                <w:sz w:val="24"/>
                <w:szCs w:val="24"/>
              </w:rPr>
              <w:t xml:space="preserve"> рубл</w:t>
            </w:r>
            <w:r w:rsidR="00C814D0">
              <w:rPr>
                <w:rFonts w:ascii="Times New Roman" w:hAnsi="Times New Roman"/>
                <w:sz w:val="24"/>
                <w:szCs w:val="24"/>
              </w:rPr>
              <w:t>я</w:t>
            </w:r>
            <w:r w:rsidRPr="00113F14">
              <w:rPr>
                <w:rFonts w:ascii="Times New Roman" w:hAnsi="Times New Roman"/>
                <w:sz w:val="24"/>
                <w:szCs w:val="24"/>
              </w:rPr>
              <w:t xml:space="preserve"> </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sidR="000042F4">
              <w:rPr>
                <w:rFonts w:ascii="Times New Roman" w:hAnsi="Times New Roman"/>
                <w:sz w:val="24"/>
                <w:szCs w:val="24"/>
              </w:rPr>
              <w:t>398 635,47</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0042F4">
              <w:rPr>
                <w:rFonts w:ascii="Times New Roman" w:hAnsi="Times New Roman"/>
                <w:sz w:val="24"/>
                <w:szCs w:val="24"/>
              </w:rPr>
              <w:t>166 324 633,22</w:t>
            </w:r>
            <w:r w:rsidRPr="00113F14">
              <w:rPr>
                <w:rFonts w:ascii="Times New Roman" w:hAnsi="Times New Roman"/>
                <w:sz w:val="24"/>
                <w:szCs w:val="24"/>
              </w:rPr>
              <w:t xml:space="preserve"> рубл</w:t>
            </w:r>
            <w:r w:rsidR="000042F4">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C7FE5" w:rsidRPr="00113F14" w:rsidRDefault="00BC7FE5" w:rsidP="009C569C">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C7FE5" w:rsidRPr="00113F14" w:rsidTr="009C569C">
        <w:trPr>
          <w:trHeight w:val="840"/>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BC7FE5" w:rsidRPr="00113F14" w:rsidRDefault="00BC7FE5" w:rsidP="00BC7FE5">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7FE5">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2024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w:t>
            </w:r>
            <w:r w:rsidRPr="00113F14">
              <w:rPr>
                <w:rFonts w:ascii="Times New Roman" w:hAnsi="Times New Roman"/>
                <w:sz w:val="24"/>
                <w:szCs w:val="24"/>
              </w:rPr>
              <w:lastRenderedPageBreak/>
              <w:t xml:space="preserve">родителей, проживающих на территории Муромцевского района Омской области не менее 96,5% к 2030 году,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по годам: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BC7FE5" w:rsidRPr="00113F14" w:rsidRDefault="00BC7FE5" w:rsidP="00BC7FE5">
      <w:pPr>
        <w:spacing w:after="0" w:line="240" w:lineRule="auto"/>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lastRenderedPageBreak/>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Стратегической целью развития сферы образования Муромцевкого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 создания условий для развития талантливых детей и молодежи, стимулирования их творческой и физической активности.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5. Выявление и поддержка одаренных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Кам- Курский детский сад;</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Муромцевский детский сад №8;</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w:t>
      </w:r>
      <w:r w:rsidRPr="00113F14">
        <w:rPr>
          <w:rFonts w:ascii="Times New Roman" w:hAnsi="Times New Roman"/>
          <w:sz w:val="24"/>
          <w:szCs w:val="24"/>
        </w:rPr>
        <w:lastRenderedPageBreak/>
        <w:t xml:space="preserve">математике (в %) на основе соответствующих данных Министерства образования Омской области;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 xml:space="preserve">оценки эффективности выполнения данных мероприятий используется целевой индикатор -  </w:t>
      </w:r>
      <w:r w:rsidR="00C814D0" w:rsidRPr="002E63B1">
        <w:rPr>
          <w:rFonts w:ascii="Times New Roman" w:hAnsi="Times New Roman"/>
          <w:sz w:val="24"/>
          <w:szCs w:val="24"/>
        </w:rPr>
        <w:t>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r w:rsidRPr="002E63B1">
        <w:rPr>
          <w:rFonts w:ascii="Times New Roman" w:hAnsi="Times New Roman"/>
          <w:sz w:val="24"/>
          <w:szCs w:val="24"/>
        </w:rPr>
        <w:t>.</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0042F4"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w:t>
      </w:r>
      <w:r w:rsidR="000042F4" w:rsidRPr="002E63B1">
        <w:rPr>
          <w:rFonts w:ascii="Times New Roman" w:hAnsi="Times New Roman"/>
          <w:sz w:val="24"/>
          <w:szCs w:val="24"/>
        </w:rPr>
        <w:t>ого</w:t>
      </w:r>
      <w:r w:rsidRPr="002E63B1">
        <w:rPr>
          <w:rFonts w:ascii="Times New Roman" w:hAnsi="Times New Roman"/>
          <w:sz w:val="24"/>
          <w:szCs w:val="24"/>
        </w:rPr>
        <w:t xml:space="preserve"> мероприяти</w:t>
      </w:r>
      <w:r w:rsidR="000042F4" w:rsidRPr="002E63B1">
        <w:rPr>
          <w:rFonts w:ascii="Times New Roman" w:hAnsi="Times New Roman"/>
          <w:sz w:val="24"/>
          <w:szCs w:val="24"/>
        </w:rPr>
        <w:t>я</w:t>
      </w:r>
      <w:r w:rsidRPr="002E63B1">
        <w:rPr>
          <w:rFonts w:ascii="Times New Roman" w:hAnsi="Times New Roman"/>
          <w:sz w:val="24"/>
          <w:szCs w:val="24"/>
        </w:rPr>
        <w:t xml:space="preserve"> использу</w:t>
      </w:r>
      <w:r w:rsidR="000042F4" w:rsidRPr="002E63B1">
        <w:rPr>
          <w:rFonts w:ascii="Times New Roman" w:hAnsi="Times New Roman"/>
          <w:sz w:val="24"/>
          <w:szCs w:val="24"/>
        </w:rPr>
        <w:t>ю</w:t>
      </w:r>
      <w:r w:rsidRPr="002E63B1">
        <w:rPr>
          <w:rFonts w:ascii="Times New Roman" w:hAnsi="Times New Roman"/>
          <w:sz w:val="24"/>
          <w:szCs w:val="24"/>
        </w:rPr>
        <w:t>тся целев</w:t>
      </w:r>
      <w:r w:rsidR="000042F4" w:rsidRPr="002E63B1">
        <w:rPr>
          <w:rFonts w:ascii="Times New Roman" w:hAnsi="Times New Roman"/>
          <w:sz w:val="24"/>
          <w:szCs w:val="24"/>
        </w:rPr>
        <w:t>ые</w:t>
      </w:r>
      <w:r w:rsidRPr="002E63B1">
        <w:rPr>
          <w:rFonts w:ascii="Times New Roman" w:hAnsi="Times New Roman"/>
          <w:sz w:val="24"/>
          <w:szCs w:val="24"/>
        </w:rPr>
        <w:t xml:space="preserve"> индикатор</w:t>
      </w:r>
      <w:r w:rsidR="000042F4" w:rsidRPr="002E63B1">
        <w:rPr>
          <w:rFonts w:ascii="Times New Roman" w:hAnsi="Times New Roman"/>
          <w:sz w:val="24"/>
          <w:szCs w:val="24"/>
        </w:rPr>
        <w:t xml:space="preserve">ы: </w:t>
      </w:r>
      <w:r w:rsidRPr="002E63B1">
        <w:rPr>
          <w:rFonts w:ascii="Times New Roman" w:hAnsi="Times New Roman"/>
          <w:sz w:val="24"/>
          <w:szCs w:val="24"/>
        </w:rPr>
        <w:t xml:space="preserve"> </w:t>
      </w:r>
    </w:p>
    <w:p w:rsidR="000042F4" w:rsidRPr="002E63B1" w:rsidRDefault="000042F4"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w:t>
      </w:r>
      <w:r w:rsidR="00BC7FE5" w:rsidRPr="002E63B1">
        <w:rPr>
          <w:rFonts w:ascii="Times New Roman" w:hAnsi="Times New Roman"/>
          <w:sz w:val="24"/>
          <w:szCs w:val="24"/>
        </w:rPr>
        <w:t xml:space="preserve">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r w:rsidRPr="002E63B1">
        <w:rPr>
          <w:rFonts w:ascii="Times New Roman" w:hAnsi="Times New Roman"/>
          <w:sz w:val="24"/>
          <w:szCs w:val="24"/>
        </w:rPr>
        <w:t xml:space="preserve"> (в период с 2022 года по 2023 год );</w:t>
      </w:r>
    </w:p>
    <w:p w:rsidR="000042F4" w:rsidRPr="002E63B1" w:rsidRDefault="000042F4" w:rsidP="000042F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w:t>
      </w:r>
      <w:r w:rsidRPr="002E63B1">
        <w:rPr>
          <w:rFonts w:ascii="Times New Roman" w:hAnsi="Times New Roman"/>
          <w:sz w:val="24"/>
          <w:szCs w:val="24"/>
        </w:rPr>
        <w:lastRenderedPageBreak/>
        <w:t>основного общего и среднего общего образования, в том числе адаптированные основные общеобразовательные программы ).</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0042F4" w:rsidRPr="002E63B1" w:rsidRDefault="000042F4" w:rsidP="000042F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0042F4"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r w:rsidR="000042F4" w:rsidRPr="002E63B1">
        <w:rPr>
          <w:rFonts w:ascii="Times New Roman" w:hAnsi="Times New Roman"/>
          <w:sz w:val="24"/>
          <w:szCs w:val="24"/>
        </w:rPr>
        <w:t xml:space="preserve"> (в период с 2022 года по 2023 год );</w:t>
      </w:r>
    </w:p>
    <w:p w:rsidR="000042F4" w:rsidRPr="002E63B1" w:rsidRDefault="000042F4" w:rsidP="000042F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r w:rsidR="000042F4" w:rsidRPr="002E63B1">
        <w:rPr>
          <w:rFonts w:ascii="Times New Roman" w:hAnsi="Times New Roman"/>
          <w:sz w:val="24"/>
          <w:szCs w:val="24"/>
        </w:rPr>
        <w:t>Р</w:t>
      </w:r>
      <w:r w:rsidRPr="002E63B1">
        <w:rPr>
          <w:rFonts w:ascii="Times New Roman" w:hAnsi="Times New Roman"/>
          <w:sz w:val="24"/>
          <w:szCs w:val="24"/>
        </w:rPr>
        <w:t>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2E63B1" w:rsidRPr="002E63B1"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2E63B1">
        <w:rPr>
          <w:rFonts w:ascii="Times New Roman" w:hAnsi="Times New Roman"/>
          <w:color w:val="FF0000"/>
          <w:sz w:val="24"/>
          <w:szCs w:val="24"/>
        </w:rPr>
        <w:t>Для оценки эффективности выполнения данных мероприятий используется целев</w:t>
      </w:r>
      <w:r w:rsidR="002E63B1" w:rsidRPr="002E63B1">
        <w:rPr>
          <w:rFonts w:ascii="Times New Roman" w:hAnsi="Times New Roman"/>
          <w:color w:val="FF0000"/>
          <w:sz w:val="24"/>
          <w:szCs w:val="24"/>
        </w:rPr>
        <w:t>ые</w:t>
      </w:r>
      <w:r w:rsidRPr="002E63B1">
        <w:rPr>
          <w:rFonts w:ascii="Times New Roman" w:hAnsi="Times New Roman"/>
          <w:color w:val="FF0000"/>
          <w:sz w:val="24"/>
          <w:szCs w:val="24"/>
        </w:rPr>
        <w:t xml:space="preserve"> индикатор</w:t>
      </w:r>
      <w:r w:rsidR="002E63B1" w:rsidRPr="002E63B1">
        <w:rPr>
          <w:rFonts w:ascii="Times New Roman" w:hAnsi="Times New Roman"/>
          <w:color w:val="FF0000"/>
          <w:sz w:val="24"/>
          <w:szCs w:val="24"/>
        </w:rPr>
        <w:t>ы:</w:t>
      </w:r>
    </w:p>
    <w:p w:rsidR="00BC7FE5" w:rsidRPr="002E63B1" w:rsidRDefault="002E63B1" w:rsidP="00BC7FE5">
      <w:pPr>
        <w:autoSpaceDE w:val="0"/>
        <w:autoSpaceDN w:val="0"/>
        <w:adjustRightInd w:val="0"/>
        <w:spacing w:after="0" w:line="240" w:lineRule="auto"/>
        <w:ind w:firstLine="709"/>
        <w:jc w:val="both"/>
        <w:rPr>
          <w:rFonts w:ascii="Times New Roman" w:hAnsi="Times New Roman"/>
          <w:color w:val="FF0000"/>
          <w:sz w:val="24"/>
          <w:szCs w:val="24"/>
        </w:rPr>
      </w:pPr>
      <w:r w:rsidRPr="002E63B1">
        <w:rPr>
          <w:rFonts w:ascii="Times New Roman" w:hAnsi="Times New Roman"/>
          <w:color w:val="FF0000"/>
          <w:sz w:val="24"/>
          <w:szCs w:val="24"/>
        </w:rPr>
        <w:t>1)</w:t>
      </w:r>
      <w:r w:rsidR="00BC7FE5" w:rsidRPr="002E63B1">
        <w:rPr>
          <w:rFonts w:ascii="Times New Roman" w:hAnsi="Times New Roman"/>
          <w:color w:val="FF0000"/>
          <w:sz w:val="24"/>
          <w:szCs w:val="24"/>
        </w:rPr>
        <w:t xml:space="preserve"> </w:t>
      </w:r>
      <w:r w:rsidRPr="002E63B1">
        <w:rPr>
          <w:rFonts w:ascii="Times New Roman" w:hAnsi="Times New Roman"/>
          <w:color w:val="FF0000"/>
          <w:sz w:val="24"/>
          <w:szCs w:val="24"/>
        </w:rPr>
        <w:t>д</w:t>
      </w:r>
      <w:r w:rsidR="00BC7FE5" w:rsidRPr="002E63B1">
        <w:rPr>
          <w:rFonts w:ascii="Times New Roman" w:hAnsi="Times New Roman"/>
          <w:color w:val="FF0000"/>
          <w:sz w:val="24"/>
          <w:szCs w:val="24"/>
        </w:rPr>
        <w:t>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Муромцевскому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2E63B1" w:rsidRPr="002E63B1" w:rsidRDefault="002E63B1" w:rsidP="00BC7FE5">
      <w:pPr>
        <w:autoSpaceDE w:val="0"/>
        <w:autoSpaceDN w:val="0"/>
        <w:adjustRightInd w:val="0"/>
        <w:spacing w:after="0" w:line="240" w:lineRule="auto"/>
        <w:ind w:firstLine="709"/>
        <w:jc w:val="both"/>
        <w:rPr>
          <w:rFonts w:ascii="Times New Roman" w:hAnsi="Times New Roman"/>
          <w:color w:val="FF0000"/>
          <w:sz w:val="24"/>
          <w:szCs w:val="24"/>
        </w:rPr>
      </w:pPr>
      <w:r w:rsidRPr="002E63B1">
        <w:rPr>
          <w:rFonts w:ascii="Times New Roman" w:hAnsi="Times New Roman"/>
          <w:color w:val="FF0000"/>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w:t>
      </w:r>
      <w:r w:rsidRPr="002E63B1">
        <w:rPr>
          <w:rFonts w:ascii="Times New Roman" w:hAnsi="Times New Roman"/>
          <w:color w:val="FF0000"/>
          <w:sz w:val="24"/>
          <w:szCs w:val="24"/>
        </w:rPr>
        <w:lastRenderedPageBreak/>
        <w:t>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E63B1">
        <w:rPr>
          <w:rFonts w:ascii="Times New Roman" w:hAnsi="Times New Roman"/>
          <w:sz w:val="24"/>
          <w:szCs w:val="24"/>
        </w:rPr>
        <w:tab/>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w:t>
      </w:r>
      <w:r w:rsidRPr="002E63B1">
        <w:rPr>
          <w:rFonts w:ascii="Times New Roman" w:hAnsi="Times New Roman"/>
          <w:sz w:val="24"/>
          <w:szCs w:val="24"/>
        </w:rPr>
        <w:lastRenderedPageBreak/>
        <w:t>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Муромцевскому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софинансирование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МДОУ "Костинский детский сад",  расположенного по адресу: Омская область, Муромцевский район, с. Костино, улица 40 лет Победы 15,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"Артынский детский сад",  расположенного по адресу: Омская область, Муромцевский район, с. Артын, улица Боровая 29,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lastRenderedPageBreak/>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8236ED"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r w:rsidR="008236ED" w:rsidRPr="002E63B1">
        <w:rPr>
          <w:rFonts w:ascii="Times New Roman" w:hAnsi="Times New Roman"/>
          <w:sz w:val="24"/>
          <w:szCs w:val="24"/>
        </w:rPr>
        <w:t>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8236ED" w:rsidRPr="002E63B1" w:rsidRDefault="008236ED"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образоательных организациях).</w:t>
      </w:r>
    </w:p>
    <w:p w:rsidR="008236ED" w:rsidRPr="002E63B1" w:rsidRDefault="008236ED"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8236ED" w:rsidRPr="002E63B1" w:rsidRDefault="008236ED"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8236ED" w:rsidRPr="002E63B1" w:rsidRDefault="008236ED"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В рамках реализации основного мероприятия  4  </w:t>
      </w:r>
      <w:r w:rsidRPr="002E63B1">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E63B1">
        <w:rPr>
          <w:rFonts w:ascii="Times New Roman" w:hAnsi="Times New Roman"/>
          <w:sz w:val="24"/>
          <w:szCs w:val="24"/>
        </w:rPr>
        <w:t>" запланированы:</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BC7FE5" w:rsidRPr="002E63B1" w:rsidRDefault="00BC7FE5" w:rsidP="00BC7FE5">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w:t>
      </w:r>
      <w:r w:rsidRPr="00113F14">
        <w:rPr>
          <w:rFonts w:ascii="Times New Roman" w:hAnsi="Times New Roman"/>
          <w:sz w:val="24"/>
          <w:szCs w:val="24"/>
        </w:rPr>
        <w:lastRenderedPageBreak/>
        <w:t xml:space="preserve">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w:t>
      </w:r>
      <w:r w:rsidRPr="00113F14">
        <w:rPr>
          <w:rFonts w:ascii="Times New Roman" w:hAnsi="Times New Roman"/>
          <w:sz w:val="24"/>
          <w:szCs w:val="24"/>
        </w:rPr>
        <w:lastRenderedPageBreak/>
        <w:t>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Муромцевском муниципальном районе Омской области" </w:t>
      </w:r>
      <w:r w:rsidRPr="00113F14">
        <w:rPr>
          <w:rFonts w:ascii="Times New Roman" w:hAnsi="Times New Roman"/>
          <w:sz w:val="24"/>
          <w:szCs w:val="24"/>
        </w:rPr>
        <w:t>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отдыха и оздоровления несовершеннолетних в Муромцевском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C7FE5" w:rsidRPr="00113F14" w:rsidRDefault="00BC7FE5" w:rsidP="00BC7FE5">
      <w:pPr>
        <w:autoSpaceDE w:val="0"/>
        <w:autoSpaceDN w:val="0"/>
        <w:adjustRightInd w:val="0"/>
        <w:spacing w:after="0" w:line="240" w:lineRule="auto"/>
        <w:ind w:firstLine="709"/>
        <w:jc w:val="center"/>
        <w:rPr>
          <w:rFonts w:ascii="Times New Roman" w:hAnsi="Times New Roman"/>
          <w:i/>
          <w:sz w:val="24"/>
          <w:szCs w:val="24"/>
        </w:rPr>
      </w:pPr>
    </w:p>
    <w:p w:rsidR="002E63B1" w:rsidRPr="00113F14" w:rsidRDefault="002E63B1" w:rsidP="002E63B1">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5 044 724 380,31</w:t>
      </w:r>
      <w:r w:rsidRPr="00113F14">
        <w:rPr>
          <w:rFonts w:ascii="Times New Roman" w:hAnsi="Times New Roman"/>
          <w:sz w:val="24"/>
          <w:szCs w:val="24"/>
        </w:rPr>
        <w:t xml:space="preserve">  рублей, в том числе:</w:t>
      </w:r>
    </w:p>
    <w:p w:rsidR="002E63B1" w:rsidRPr="00113F14" w:rsidRDefault="002E63B1" w:rsidP="002E63B1">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2E63B1" w:rsidRPr="00113F14" w:rsidRDefault="002E63B1" w:rsidP="002E63B1">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661 311 862,38</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2E63B1" w:rsidRPr="00113F14" w:rsidRDefault="002E63B1" w:rsidP="002E63B1">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2E63B1" w:rsidRPr="00113F14" w:rsidRDefault="002E63B1" w:rsidP="002E63B1">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2022 год – 29 787 490,80 рублей </w:t>
      </w:r>
    </w:p>
    <w:p w:rsidR="002E63B1" w:rsidRPr="00113F14" w:rsidRDefault="002E63B1" w:rsidP="002E63B1">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2E63B1" w:rsidRPr="00113F14" w:rsidRDefault="002E63B1" w:rsidP="002E63B1">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269 150 014,97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2E63B1" w:rsidRPr="00113F14" w:rsidRDefault="002E63B1" w:rsidP="002E63B1">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2E63B1" w:rsidRPr="00113F14" w:rsidRDefault="002E63B1" w:rsidP="002E63B1">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404 250 226,29</w:t>
      </w:r>
      <w:r w:rsidRPr="00113F14">
        <w:rPr>
          <w:rFonts w:ascii="Times New Roman" w:hAnsi="Times New Roman"/>
          <w:sz w:val="24"/>
          <w:szCs w:val="24"/>
        </w:rPr>
        <w:t xml:space="preserve"> рубл</w:t>
      </w:r>
      <w:r>
        <w:rPr>
          <w:rFonts w:ascii="Times New Roman" w:hAnsi="Times New Roman"/>
          <w:sz w:val="24"/>
          <w:szCs w:val="24"/>
        </w:rPr>
        <w:t>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2E63B1" w:rsidRPr="00113F14" w:rsidRDefault="002E63B1" w:rsidP="002E63B1">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399 163 210,97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2E63B1" w:rsidRPr="00113F14" w:rsidRDefault="002E63B1" w:rsidP="002E63B1">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2E63B1" w:rsidRPr="00113F14" w:rsidRDefault="002E63B1" w:rsidP="002E63B1">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123 374 458,94</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2E63B1" w:rsidRPr="00113F14" w:rsidRDefault="002E63B1" w:rsidP="002E63B1">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2E63B1" w:rsidRDefault="002E63B1" w:rsidP="002E63B1">
      <w:pPr>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C7FE5" w:rsidRPr="00113F14" w:rsidRDefault="00BC7FE5" w:rsidP="002E63B1">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w:t>
      </w:r>
      <w:r w:rsidRPr="00113F14">
        <w:rPr>
          <w:rFonts w:ascii="Times New Roman" w:hAnsi="Times New Roman"/>
          <w:sz w:val="24"/>
          <w:szCs w:val="24"/>
        </w:rPr>
        <w:lastRenderedPageBreak/>
        <w:t>службы государственной статистики по Омской области (форма 85-К, ОО-1, 1-ДО). Значение ожидаемого результата определяется в процентах.</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Дудо = Чпудо / (Чпудо + Чоч) x 100, где:</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Дудо - обеспечение доступности услуг дошкольного образования для детей в возрасте от 3 до 7 лет;</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Чпудо - численность детей в возрасте от 3 до 7 лет, получающих услуги дошкольного образования в текущем году;</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Чоч - численность детей в возрасте от 3 до 7 лет, находящихся в очереди на получение в текущем году дошкольного образования.</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w:t>
      </w:r>
      <w:r w:rsidRPr="00113F14">
        <w:rPr>
          <w:rFonts w:ascii="Times New Roman" w:hAnsi="Times New Roman"/>
          <w:sz w:val="24"/>
          <w:szCs w:val="24"/>
        </w:rPr>
        <w:lastRenderedPageBreak/>
        <w:t>образовательным программам начального общего, основного общего и среднего общего образования к 2030 году до 88%, в том числе по годам:</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C7FE5" w:rsidRPr="00113F14" w:rsidRDefault="00BC7FE5" w:rsidP="00BC7FE5">
      <w:pPr>
        <w:spacing w:after="0" w:line="240" w:lineRule="auto"/>
        <w:jc w:val="both"/>
        <w:rPr>
          <w:rFonts w:ascii="Times New Roman" w:hAnsi="Times New Roman"/>
          <w:sz w:val="24"/>
          <w:szCs w:val="24"/>
        </w:rPr>
      </w:pP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2028 год -43%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BC7FE5" w:rsidRPr="00113F14" w:rsidRDefault="00BC7FE5" w:rsidP="00BC7FE5">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BB3F6D" w:rsidRDefault="00BB3F6D" w:rsidP="00113F14">
      <w:pPr>
        <w:pStyle w:val="ConsPlusCell"/>
        <w:jc w:val="right"/>
        <w:rPr>
          <w:sz w:val="24"/>
          <w:szCs w:val="24"/>
        </w:rPr>
      </w:pPr>
    </w:p>
    <w:p w:rsidR="009B2B4D" w:rsidRDefault="009B2B4D" w:rsidP="00113F14">
      <w:pPr>
        <w:pStyle w:val="ConsPlusCell"/>
        <w:jc w:val="right"/>
        <w:rPr>
          <w:sz w:val="24"/>
          <w:szCs w:val="24"/>
        </w:rPr>
      </w:pPr>
    </w:p>
    <w:p w:rsidR="009B2B4D" w:rsidRDefault="009B2B4D" w:rsidP="00113F14">
      <w:pPr>
        <w:pStyle w:val="ConsPlusCell"/>
        <w:jc w:val="right"/>
        <w:rPr>
          <w:sz w:val="24"/>
          <w:szCs w:val="24"/>
        </w:rPr>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9C569C">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 xml:space="preserve">«Развитие социально-культурной сферы Муромцевского муниципального района  Омской области» (далее – </w:t>
            </w:r>
            <w:r w:rsidRPr="003629AB">
              <w:rPr>
                <w:rFonts w:ascii="Times New Roman" w:hAnsi="Times New Roman" w:cs="Times New Roman"/>
                <w:sz w:val="24"/>
                <w:szCs w:val="24"/>
              </w:rPr>
              <w:lastRenderedPageBreak/>
              <w:t>муниципальная программа)</w:t>
            </w:r>
          </w:p>
        </w:tc>
      </w:tr>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9C569C">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9C569C">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9C569C">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9C569C">
        <w:trPr>
          <w:trHeight w:val="4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Омской области </w:t>
            </w:r>
          </w:p>
        </w:tc>
      </w:tr>
      <w:tr w:rsidR="00113F14" w:rsidRPr="003629AB" w:rsidTr="009C569C">
        <w:trPr>
          <w:trHeight w:val="328"/>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w:t>
            </w:r>
            <w:r w:rsidRPr="003629AB">
              <w:rPr>
                <w:rFonts w:ascii="Times New Roman" w:hAnsi="Times New Roman"/>
                <w:sz w:val="24"/>
                <w:szCs w:val="24"/>
              </w:rPr>
              <w:lastRenderedPageBreak/>
              <w:t>видео- и аудиофондов, создание инфраструктуры доступа населения к ним с использованием сети Интернет).</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9C569C">
        <w:trPr>
          <w:trHeight w:val="709"/>
        </w:trPr>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9C569C">
        <w:trPr>
          <w:trHeight w:val="7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2B242C">
              <w:rPr>
                <w:rFonts w:ascii="Times New Roman" w:hAnsi="Times New Roman"/>
                <w:sz w:val="24"/>
                <w:szCs w:val="24"/>
              </w:rPr>
              <w:t>344 938 465,23</w:t>
            </w:r>
            <w:r w:rsidRPr="003629AB">
              <w:rPr>
                <w:rFonts w:ascii="Times New Roman" w:hAnsi="Times New Roman"/>
                <w:sz w:val="24"/>
                <w:szCs w:val="24"/>
              </w:rPr>
              <w:t xml:space="preserve"> рубл</w:t>
            </w:r>
            <w:r w:rsidR="00996FF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135 950 705,60</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201 926 334,28</w:t>
            </w:r>
            <w:r w:rsidRPr="003629AB">
              <w:rPr>
                <w:rFonts w:ascii="Times New Roman" w:hAnsi="Times New Roman"/>
                <w:sz w:val="24"/>
                <w:szCs w:val="24"/>
              </w:rPr>
              <w:t xml:space="preserve"> рубл</w:t>
            </w:r>
            <w:r w:rsidR="002B242C">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B242C">
              <w:rPr>
                <w:rFonts w:ascii="Times New Roman" w:hAnsi="Times New Roman"/>
                <w:sz w:val="24"/>
                <w:szCs w:val="24"/>
              </w:rPr>
              <w:t>233 408 535,77</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95 614 501,60</w:t>
            </w:r>
            <w:r w:rsidRPr="003629AB">
              <w:rPr>
                <w:rFonts w:ascii="Times New Roman" w:hAnsi="Times New Roman"/>
                <w:sz w:val="24"/>
                <w:szCs w:val="24"/>
              </w:rPr>
              <w:t xml:space="preserve"> рубл</w:t>
            </w:r>
            <w:r w:rsidR="009B2B4D">
              <w:rPr>
                <w:rFonts w:ascii="Times New Roman" w:hAnsi="Times New Roman"/>
                <w:sz w:val="24"/>
                <w:szCs w:val="24"/>
              </w:rPr>
              <w:t>ь</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167 280 000</w:t>
            </w:r>
            <w:r w:rsidR="00996FF1">
              <w:rPr>
                <w:rFonts w:ascii="Times New Roman" w:hAnsi="Times New Roman"/>
                <w:sz w:val="24"/>
                <w:szCs w:val="24"/>
              </w:rPr>
              <w:t>,00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9B2B4D">
              <w:rPr>
                <w:rFonts w:ascii="Times New Roman" w:hAnsi="Times New Roman"/>
                <w:sz w:val="24"/>
                <w:szCs w:val="24"/>
              </w:rPr>
              <w:t>146 800 897,00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 xml:space="preserve">146 </w:t>
            </w:r>
            <w:r w:rsidR="009B2B4D">
              <w:rPr>
                <w:rFonts w:ascii="Times New Roman" w:hAnsi="Times New Roman"/>
                <w:sz w:val="24"/>
                <w:szCs w:val="24"/>
              </w:rPr>
              <w:t>5</w:t>
            </w:r>
            <w:r>
              <w:rPr>
                <w:rFonts w:ascii="Times New Roman" w:hAnsi="Times New Roman"/>
                <w:sz w:val="24"/>
                <w:szCs w:val="24"/>
              </w:rPr>
              <w:t>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2B242C">
              <w:rPr>
                <w:rFonts w:ascii="Times New Roman" w:hAnsi="Times New Roman"/>
                <w:sz w:val="24"/>
                <w:szCs w:val="24"/>
              </w:rPr>
              <w:t>105 320 377,92</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Default="00113F14" w:rsidP="009C569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sidR="009B2B4D">
              <w:rPr>
                <w:rFonts w:ascii="Times New Roman" w:hAnsi="Times New Roman"/>
                <w:sz w:val="24"/>
                <w:szCs w:val="24"/>
              </w:rPr>
              <w:t>я</w:t>
            </w:r>
            <w:r w:rsidR="002B242C">
              <w:rPr>
                <w:rFonts w:ascii="Times New Roman" w:hAnsi="Times New Roman"/>
                <w:sz w:val="24"/>
                <w:szCs w:val="24"/>
              </w:rPr>
              <w:t>;</w:t>
            </w:r>
          </w:p>
          <w:p w:rsidR="002B242C" w:rsidRDefault="002B242C" w:rsidP="009C569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w:t>
            </w:r>
            <w:r w:rsidR="002B242C">
              <w:rPr>
                <w:rFonts w:ascii="Times New Roman" w:hAnsi="Times New Roman"/>
                <w:sz w:val="24"/>
                <w:szCs w:val="24"/>
              </w:rPr>
              <w:t>6 209 551,54</w:t>
            </w:r>
            <w:r w:rsidRPr="003629AB">
              <w:rPr>
                <w:rFonts w:ascii="Times New Roman" w:hAnsi="Times New Roman"/>
                <w:sz w:val="24"/>
                <w:szCs w:val="24"/>
              </w:rPr>
              <w:t xml:space="preserve"> рубл</w:t>
            </w:r>
            <w:r w:rsidR="002B242C">
              <w:rPr>
                <w:rFonts w:ascii="Times New Roman" w:hAnsi="Times New Roman"/>
                <w:sz w:val="24"/>
                <w:szCs w:val="24"/>
              </w:rPr>
              <w:t>ь</w:t>
            </w:r>
            <w:r w:rsidRPr="003629AB">
              <w:rPr>
                <w:rFonts w:ascii="Times New Roman" w:hAnsi="Times New Roman"/>
                <w:sz w:val="24"/>
                <w:szCs w:val="24"/>
              </w:rPr>
              <w:t xml:space="preserve">, 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9B2B4D" w:rsidRDefault="00113F14" w:rsidP="009B2B4D">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9B2B4D">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9C569C">
        <w:trPr>
          <w:trHeight w:val="697"/>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Обеспечение количества поступивших экземпляров в фонды общедоступных библиотек на 1000 человек населения </w:t>
            </w:r>
            <w:r w:rsidRPr="003629AB">
              <w:rPr>
                <w:rFonts w:ascii="Times New Roman" w:hAnsi="Times New Roman"/>
                <w:sz w:val="24"/>
                <w:szCs w:val="24"/>
              </w:rPr>
              <w:lastRenderedPageBreak/>
              <w:t>(2022 – 2030 года – ежегодно 250 экземпляров).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2023 год – 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межпоселенческое учреждение культуры Муромцевского Муниципального района Омской области Муромцевский культурно-досуговый центр «Альтернатива» (МБМУК Муромцевский КДЦ «Альтернатива») - 34 сетевые единицы, Муниципальное бюджетное межпоселенческое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межпоселенческое учреждение культуры Центр русской традиционной культуры «Родники Сибирские» (МБМУК ЦРТК «Родники Сибирские»), Муниципальное бюджетное межпоселенческое учреждение культуры Муромцевского муниципального района Омской области «Муромцевский кинодосуговый центр» (МБМУК КДЦ), Муниципальное бюджетное межпоселенческое учреждение культуры Муромцевского муниципального района Омской области «Муромцевский историко-краеведческий музей» (МБМУК «Муромцевский историко-краеведческий музей»),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межпоселенческое учреждение культуры и туризма «Пять озер – Муромцево» (МБМУКиТ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w:t>
      </w:r>
      <w:r w:rsidRPr="003629AB">
        <w:rPr>
          <w:rFonts w:ascii="Times New Roman" w:hAnsi="Times New Roman"/>
          <w:sz w:val="24"/>
          <w:szCs w:val="24"/>
        </w:rPr>
        <w:lastRenderedPageBreak/>
        <w:t xml:space="preserve">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w:t>
      </w:r>
      <w:r w:rsidRPr="003629AB">
        <w:rPr>
          <w:rFonts w:ascii="Times New Roman" w:hAnsi="Times New Roman"/>
          <w:sz w:val="24"/>
          <w:szCs w:val="24"/>
        </w:rPr>
        <w:lastRenderedPageBreak/>
        <w:t>процессе развития: обладая уникальным архитектурным, культурно-историческим и природным наследием, Муромцевский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Ленево,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Роденко М.С. (база отдыха «Серебряный берег»), ИП Роденко С.Г. (гостиный дом «Серебряный берег»), ООО «Ермак» (Тюменцев С.В., гостиный дом «Ермак», с. Артын), УВЗ «ОмскТрансМаш» (база отдыха «Артын», с. Артын), Омский областной центр спортивной подготовки «Биатлонный центр» (п. Петропавловка), МБМУКиТ «Пять озер – Муромцево» (база отдыха «Пять озер»), ИП Иванов А.Г. (база отдыха «Игоревские дали», д. Игоревка), ИП Репина С.О. (гостиный дом «Ладное подворье», д. Окунево), Колеснива Т.В. (гостинный дом «Окунево», д. Окунево), ИП Грузденко О. (Центр здоровья «Солеолис», д. Окунево), Гостевой двор «Садху» (д. Окунево).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МБМУКиТ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МБМУКиТ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рп Муромцево, ул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Инвестиционная площадка «База отдыха Надеждинка»,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Инвестиционная площадка «Туристическая зона Ленево», расположена на территории Кондратьевского сельского поселения, в 950 метрах от озера Ленево.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Петропавловкий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ab/>
        <w:t xml:space="preserve"> В 2019 году на территории природного заказника регионального значения «Озеро Ленево»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w:t>
      </w:r>
      <w:r w:rsidRPr="0037394B">
        <w:rPr>
          <w:rFonts w:ascii="Times New Roman" w:hAnsi="Times New Roman" w:cs="Times New Roman"/>
          <w:sz w:val="24"/>
          <w:szCs w:val="24"/>
        </w:rPr>
        <w:lastRenderedPageBreak/>
        <w:t>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w:t>
      </w:r>
      <w:r w:rsidRPr="002F32BB">
        <w:rPr>
          <w:rFonts w:ascii="Times New Roman" w:hAnsi="Times New Roman"/>
          <w:sz w:val="24"/>
          <w:szCs w:val="24"/>
        </w:rPr>
        <w:lastRenderedPageBreak/>
        <w:t>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 xml:space="preserve">«Государственная поддержка отрасли культуры (софинансирование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 xml:space="preserve">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w:t>
      </w:r>
      <w:r w:rsidRPr="000F1FD1">
        <w:lastRenderedPageBreak/>
        <w:t>видам искусств)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турпоказа.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lastRenderedPageBreak/>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1 344 938 465,23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201 926 334,28</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1 233 408 535,77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167 280 000,00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105 320 377,92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6 209 551,54</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2B242C">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lastRenderedPageBreak/>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 xml:space="preserve">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w:t>
      </w:r>
      <w:r w:rsidRPr="003629AB">
        <w:rPr>
          <w:rFonts w:ascii="Times New Roman" w:hAnsi="Times New Roman"/>
          <w:sz w:val="24"/>
          <w:szCs w:val="24"/>
        </w:rPr>
        <w:lastRenderedPageBreak/>
        <w:t>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9C569C">
        <w:tc>
          <w:tcPr>
            <w:tcW w:w="4608"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Организационные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Недостижение целевых показателей Программы</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Проведение профориентационной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9C569C">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Снижение существующего турпотока</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Мониторинг предпочтений туристов, активизация продвижения Муромцевского </w:t>
            </w:r>
            <w:r w:rsidRPr="003629AB">
              <w:rPr>
                <w:rFonts w:ascii="Times New Roman" w:hAnsi="Times New Roman"/>
                <w:sz w:val="24"/>
                <w:szCs w:val="24"/>
              </w:rPr>
              <w:lastRenderedPageBreak/>
              <w:t>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r w:rsidRPr="003629AB">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lastRenderedPageBreak/>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местного бюджета, поступлений </w:t>
            </w:r>
            <w:r w:rsidRPr="003629AB">
              <w:rPr>
                <w:rFonts w:ascii="Times New Roman" w:hAnsi="Times New Roman"/>
                <w:sz w:val="24"/>
                <w:szCs w:val="24"/>
              </w:rPr>
              <w:lastRenderedPageBreak/>
              <w:t>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Артынской СОШ по программе "Газпромнефть-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w:t>
      </w:r>
      <w:r w:rsidRPr="003629AB">
        <w:rPr>
          <w:rFonts w:ascii="Times New Roman" w:hAnsi="Times New Roman"/>
          <w:sz w:val="24"/>
          <w:szCs w:val="24"/>
        </w:rPr>
        <w:lastRenderedPageBreak/>
        <w:t xml:space="preserve">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Реализация данной Подпрограммы позволит решить указанные проблемы. Причем, принципиальное значение для 100 % реализации выше обозначенных Подпрограммой </w:t>
      </w:r>
      <w:r w:rsidRPr="003629AB">
        <w:rPr>
          <w:rFonts w:ascii="Times New Roman" w:hAnsi="Times New Roman"/>
          <w:sz w:val="24"/>
          <w:szCs w:val="24"/>
        </w:rPr>
        <w:lastRenderedPageBreak/>
        <w:t>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lastRenderedPageBreak/>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Чв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При расчете значения целевого индикатора используются данные мониторинга, проводимого МП КУ «ЦДМФКиС»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Ду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«Развитие физической культуры и массового спорта в Муромцевском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lastRenderedPageBreak/>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1. Проведение мероприятий, направленных на профилактику правонарушений, потребления наркотических и психоактивных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«ЦДМФКиС»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«ЦДМФКиС»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w:t>
            </w:r>
            <w:r w:rsidRPr="003629AB">
              <w:rPr>
                <w:sz w:val="24"/>
                <w:szCs w:val="24"/>
              </w:rPr>
              <w:lastRenderedPageBreak/>
              <w:t>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996FF1">
              <w:rPr>
                <w:rFonts w:ascii="Times New Roman" w:hAnsi="Times New Roman"/>
                <w:sz w:val="24"/>
                <w:szCs w:val="24"/>
              </w:rPr>
              <w:t>12 954 556,15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4F0906" w:rsidP="00EB6DEC">
            <w:pPr>
              <w:spacing w:after="0" w:line="240" w:lineRule="auto"/>
              <w:jc w:val="both"/>
              <w:rPr>
                <w:rFonts w:ascii="Times New Roman" w:hAnsi="Times New Roman"/>
                <w:sz w:val="24"/>
                <w:szCs w:val="24"/>
              </w:rPr>
            </w:pPr>
            <w:r>
              <w:rPr>
                <w:rFonts w:ascii="Times New Roman" w:hAnsi="Times New Roman"/>
                <w:sz w:val="24"/>
                <w:szCs w:val="24"/>
              </w:rPr>
              <w:t>6 592 909,08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 xml:space="preserve">В 2021 году Муромцевский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Кабызинское, Кондратьевское, Курганское, Пореченское и Рязанское сельских поселений отсутствует крупные и средние предприятия. Основную часть в заявленной работодателями (индивидуальные </w:t>
      </w:r>
      <w:r w:rsidRPr="00EB6B06">
        <w:rPr>
          <w:rFonts w:ascii="Times New Roman" w:hAnsi="Times New Roman"/>
          <w:sz w:val="24"/>
          <w:szCs w:val="24"/>
        </w:rPr>
        <w:lastRenderedPageBreak/>
        <w:t xml:space="preserve">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w:t>
      </w:r>
      <w:r w:rsidRPr="00EB6B06">
        <w:rPr>
          <w:rFonts w:ascii="Times New Roman" w:hAnsi="Times New Roman"/>
          <w:sz w:val="24"/>
          <w:szCs w:val="24"/>
        </w:rPr>
        <w:lastRenderedPageBreak/>
        <w:t xml:space="preserve">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6. Оказание содействия самозанятости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самозанятости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w:t>
      </w:r>
      <w:r w:rsidRPr="00D96772">
        <w:rPr>
          <w:rFonts w:ascii="Times New Roman" w:hAnsi="Times New Roman"/>
          <w:sz w:val="24"/>
          <w:szCs w:val="24"/>
        </w:rPr>
        <w:lastRenderedPageBreak/>
        <w:t xml:space="preserve">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4F0906" w:rsidRPr="00EB6B06" w:rsidRDefault="004157F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4F0906"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4F0906">
        <w:rPr>
          <w:rFonts w:ascii="Times New Roman" w:hAnsi="Times New Roman"/>
          <w:sz w:val="24"/>
          <w:szCs w:val="24"/>
        </w:rPr>
        <w:t>12 954 556,15</w:t>
      </w:r>
      <w:r w:rsidR="004F0906" w:rsidRPr="00EB6B06">
        <w:rPr>
          <w:rFonts w:ascii="Times New Roman" w:hAnsi="Times New Roman"/>
          <w:sz w:val="24"/>
          <w:szCs w:val="24"/>
        </w:rPr>
        <w:t xml:space="preserve"> рубл</w:t>
      </w:r>
      <w:r w:rsidR="004F0906">
        <w:rPr>
          <w:rFonts w:ascii="Times New Roman" w:hAnsi="Times New Roman"/>
          <w:sz w:val="24"/>
          <w:szCs w:val="24"/>
        </w:rPr>
        <w:t>ей</w:t>
      </w:r>
      <w:r w:rsidR="004F0906" w:rsidRPr="00EB6B06">
        <w:rPr>
          <w:rFonts w:ascii="Times New Roman" w:hAnsi="Times New Roman"/>
          <w:sz w:val="24"/>
          <w:szCs w:val="24"/>
        </w:rPr>
        <w:t>, в том числе:</w:t>
      </w:r>
    </w:p>
    <w:p w:rsidR="004F0906" w:rsidRPr="00EB6B06" w:rsidRDefault="004F090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803 000,00</w:t>
      </w:r>
      <w:r w:rsidRPr="00EB6B06">
        <w:rPr>
          <w:rFonts w:ascii="Times New Roman" w:hAnsi="Times New Roman"/>
          <w:sz w:val="24"/>
          <w:szCs w:val="24"/>
        </w:rPr>
        <w:t xml:space="preserve"> рублей;</w:t>
      </w:r>
    </w:p>
    <w:p w:rsidR="004F09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Общий объем финансирования подпрограммы за счет средств местного бюджета составляет </w:t>
      </w:r>
    </w:p>
    <w:p w:rsidR="004F0906" w:rsidRPr="00EB6B06" w:rsidRDefault="004F0906" w:rsidP="004F0906">
      <w:pPr>
        <w:spacing w:after="0" w:line="240" w:lineRule="auto"/>
        <w:jc w:val="both"/>
        <w:rPr>
          <w:rFonts w:ascii="Times New Roman" w:hAnsi="Times New Roman"/>
          <w:sz w:val="24"/>
          <w:szCs w:val="24"/>
        </w:rPr>
      </w:pPr>
      <w:r>
        <w:rPr>
          <w:rFonts w:ascii="Times New Roman" w:hAnsi="Times New Roman"/>
          <w:sz w:val="24"/>
          <w:szCs w:val="24"/>
        </w:rPr>
        <w:t>6 592 909,08</w:t>
      </w:r>
      <w:r w:rsidRPr="00EB6B06">
        <w:rPr>
          <w:rFonts w:ascii="Times New Roman" w:hAnsi="Times New Roman"/>
          <w:sz w:val="24"/>
          <w:szCs w:val="24"/>
        </w:rPr>
        <w:t xml:space="preserve"> рублей, в том числе:</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4F0906" w:rsidRDefault="004F090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Муромцевскому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Контроль за реализацией подпрограммы осуществляет Администрация Муромцевского муниципального района Омской области и Казенное учреждение Омской </w:t>
      </w:r>
      <w:r w:rsidRPr="00EB6B06">
        <w:rPr>
          <w:rFonts w:ascii="Times New Roman" w:hAnsi="Times New Roman" w:cs="Times New Roman"/>
          <w:sz w:val="24"/>
          <w:szCs w:val="24"/>
        </w:rPr>
        <w:lastRenderedPageBreak/>
        <w:t>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Муромцевская ЦРБ", МП КУ "Центр по делам молодежи, физической культуры и спорта», БУ «КЦСОН Муромцевского района», </w:t>
            </w:r>
            <w:r w:rsidRPr="006469CA">
              <w:rPr>
                <w:rFonts w:ascii="Times New Roman" w:hAnsi="Times New Roman"/>
                <w:sz w:val="24"/>
                <w:szCs w:val="24"/>
              </w:rPr>
              <w:lastRenderedPageBreak/>
              <w:t>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 xml:space="preserve">4. Мотивирование граждан к ведению здорового образа жизни посредством проведения спортивных мероприятий и обеспечения муниципальных </w:t>
            </w:r>
            <w:r w:rsidRPr="006469CA">
              <w:rPr>
                <w:sz w:val="24"/>
                <w:szCs w:val="24"/>
              </w:rPr>
              <w:lastRenderedPageBreak/>
              <w:t>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посещений  медицинских организаций с профилактической целью до 50 процентов к концу 2030 года (от общей численности населения </w:t>
            </w:r>
            <w:r w:rsidRPr="006469CA">
              <w:rPr>
                <w:sz w:val="24"/>
                <w:szCs w:val="24"/>
              </w:rPr>
              <w:lastRenderedPageBreak/>
              <w:t>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Муромцевский район расположен в северо-восточной части Омской области. С востока граничит с Новосибирской областью, на севере – с Седельниковским и Тарским, на юге - с Нижнеомским районами Омской области. Западная граница с Большереченским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По площади Муромцевский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ю.ш., 74°40' з.д.,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r w:rsidRPr="006469CA">
              <w:rPr>
                <w:sz w:val="24"/>
                <w:szCs w:val="24"/>
              </w:rPr>
              <w:t>Муромцевский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 xml:space="preserve">По возрастным группам населения снижение </w:t>
      </w:r>
      <w:r w:rsidR="006D08E1">
        <w:rPr>
          <w:sz w:val="24"/>
          <w:szCs w:val="24"/>
        </w:rPr>
        <w:lastRenderedPageBreak/>
        <w:t>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Среди других поселений наиболее населены Берга</w:t>
      </w:r>
      <w:r w:rsidR="00D77B02">
        <w:rPr>
          <w:sz w:val="24"/>
          <w:szCs w:val="24"/>
        </w:rPr>
        <w:t>макское сельское поселение - 7,7</w:t>
      </w:r>
      <w:r w:rsidRPr="006469CA">
        <w:rPr>
          <w:sz w:val="24"/>
          <w:szCs w:val="24"/>
        </w:rPr>
        <w:t>% (</w:t>
      </w:r>
      <w:r w:rsidR="00D77B02">
        <w:rPr>
          <w:sz w:val="24"/>
          <w:szCs w:val="24"/>
        </w:rPr>
        <w:t>1571</w:t>
      </w:r>
      <w:r w:rsidRPr="006469CA">
        <w:rPr>
          <w:sz w:val="24"/>
          <w:szCs w:val="24"/>
        </w:rPr>
        <w:t xml:space="preserve"> человек), Артынское сельское поселение - 5,5% (</w:t>
      </w:r>
      <w:r w:rsidR="00D77B02">
        <w:rPr>
          <w:sz w:val="24"/>
          <w:szCs w:val="24"/>
        </w:rPr>
        <w:t>1128</w:t>
      </w:r>
      <w:r w:rsidRPr="006469CA">
        <w:rPr>
          <w:sz w:val="24"/>
          <w:szCs w:val="24"/>
        </w:rPr>
        <w:t xml:space="preserve"> человек), Камышино-Курское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Муромцевский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lastRenderedPageBreak/>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Муромцевский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-19 сделал основной вклад в сверхсмертность.</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Заболеваемость </w:t>
            </w:r>
            <w:r w:rsidRPr="006469CA">
              <w:rPr>
                <w:sz w:val="24"/>
                <w:szCs w:val="24"/>
              </w:rPr>
              <w:lastRenderedPageBreak/>
              <w:t>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lastRenderedPageBreak/>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Муромцевском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п/п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Муромцевский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w:t>
            </w:r>
            <w:r w:rsidRPr="006469CA">
              <w:rPr>
                <w:rFonts w:ascii="Times New Roman" w:hAnsi="Times New Roman"/>
                <w:sz w:val="24"/>
                <w:szCs w:val="24"/>
              </w:rPr>
              <w:lastRenderedPageBreak/>
              <w:t xml:space="preserve">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lastRenderedPageBreak/>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Очень 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Гиперхолестерине</w:t>
            </w:r>
            <w:r w:rsidRPr="006469CA">
              <w:rPr>
                <w:rFonts w:ascii="Times New Roman" w:hAnsi="Times New Roman"/>
                <w:sz w:val="24"/>
                <w:szCs w:val="24"/>
              </w:rPr>
              <w:lastRenderedPageBreak/>
              <w:t xml:space="preserve">мия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среднеобластной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среднеобластной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(среднеобластной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среднеобластной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среднеобластной на 257,31% (среднеобластной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(среднеобластной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w:t>
      </w:r>
      <w:r w:rsidRPr="006469CA">
        <w:rPr>
          <w:rFonts w:ascii="Times New Roman" w:hAnsi="Times New Roman"/>
          <w:sz w:val="24"/>
          <w:szCs w:val="24"/>
        </w:rPr>
        <w:lastRenderedPageBreak/>
        <w:t>показатель в 2020 году превышал среднеобластной на 28,34% (среднеобластной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среднеобластной на 34,52% (среднеобластной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«Муромцевская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«Муромцевская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Из __36__ ФАПов не укомплектованы медицинскими работниками __10__: Большеникольский, Дурновский, Игоревский, Караклинский, Курганский, Малоникольский, Михайловский, Окуневский, Спирановский, Черталинский</w:t>
      </w:r>
      <w:r w:rsidRPr="006469CA">
        <w:rPr>
          <w:rFonts w:ascii="Times New Roman" w:eastAsia="Calibri" w:hAnsi="Times New Roman"/>
          <w:bCs/>
          <w:kern w:val="32"/>
          <w:sz w:val="24"/>
          <w:szCs w:val="24"/>
          <w:lang w:eastAsia="en-US"/>
        </w:rPr>
        <w:t>. Из 10 неукомплектованных ФАПов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(среднерайонный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(среднерайонный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(среднерайонный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(среднерайонный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«Муромцевская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«Муромцевская ЦРБ» обучаются по состоянию на 01.10.2021 года 13 «целевиков», из них по программе специалитета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г.Омска обучаются __8__ студентов – жителей Муромцевского района, на выпускном курсе – __3__ человека. По результатам проведенной профориентационной работы _0__ студента дали согласие для трудоустройства в 2021 году в БУЗОО «Муромцевская ЦРБ»:__0__ - акушерка, _0__ - фельдшер на ФАП.  Работа по подбору персонала для трудоустройства на неукомплектованные ФАПы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«целевиков»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целевиков,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Захаровским фельдшерско-акушерским пунктом-фельдшер).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«Муромцевская ЦРБ» всем «целевикам»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С 2018 года за счет средств областного бюджета «целевикам»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«целевикам»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«Муромцевская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«Муромцевская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специалитету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с новой коронавирусной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«Муромцевская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рентгенолаборнаты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Стационарную профильную помощь в отделении для взрослого населения с новой коронавирусной инфекцией  COVID -19, нуждающихся в проведении неинвазивной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сестра-анестезист–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В БУЗОО «Муромцевская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Муромцевском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r w:rsidRPr="006469CA">
        <w:rPr>
          <w:rFonts w:ascii="Times New Roman" w:hAnsi="Times New Roman"/>
          <w:sz w:val="24"/>
          <w:szCs w:val="24"/>
        </w:rPr>
        <w:t>Муромцевском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 xml:space="preserve">Число муниципальных спортивных </w:t>
            </w:r>
            <w:r w:rsidRPr="006469CA">
              <w:rPr>
                <w:rFonts w:ascii="Times New Roman" w:hAnsi="Times New Roman"/>
                <w:sz w:val="24"/>
                <w:szCs w:val="24"/>
              </w:rPr>
              <w:lastRenderedPageBreak/>
              <w:t>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lastRenderedPageBreak/>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lastRenderedPageBreak/>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lastRenderedPageBreak/>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человек,посетивших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проведение массовых мероприятий (акций, флэшмобов, дней здоровья, видеолекториев,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флешмобои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w:t>
      </w:r>
      <w:r w:rsidRPr="004F0906">
        <w:rPr>
          <w:sz w:val="24"/>
          <w:szCs w:val="24"/>
        </w:rPr>
        <w:lastRenderedPageBreak/>
        <w:t>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"Муромцевская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«Муромцевская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повышение уровня информированности населения с использованием СМИ и интернет-ресурсов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БУЗОО «Муромцевская ЦРБ», МП КУ «ЦДМФКиС»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 xml:space="preserve">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w:t>
      </w:r>
      <w:r w:rsidRPr="006469CA">
        <w:rPr>
          <w:rFonts w:ascii="Times New Roman" w:hAnsi="Times New Roman"/>
          <w:sz w:val="24"/>
          <w:szCs w:val="24"/>
        </w:rPr>
        <w:lastRenderedPageBreak/>
        <w:t>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МП КУ «ЦДМФКиС»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 xml:space="preserve">Увеличение доли населения муниципального района, систематически </w:t>
      </w:r>
      <w:r w:rsidRPr="00B32066">
        <w:rPr>
          <w:sz w:val="24"/>
          <w:szCs w:val="24"/>
        </w:rPr>
        <w:lastRenderedPageBreak/>
        <w:t>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w:t>
            </w:r>
            <w:r w:rsidRPr="003C39BC">
              <w:rPr>
                <w:rFonts w:ascii="Times New Roman" w:hAnsi="Times New Roman"/>
                <w:sz w:val="24"/>
                <w:szCs w:val="24"/>
              </w:rPr>
              <w:lastRenderedPageBreak/>
              <w:t xml:space="preserve">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lastRenderedPageBreak/>
              <w:t xml:space="preserve">Администрация Муромцевского </w:t>
            </w:r>
            <w:r w:rsidRPr="003C39BC">
              <w:rPr>
                <w:sz w:val="24"/>
                <w:szCs w:val="24"/>
              </w:rPr>
              <w:lastRenderedPageBreak/>
              <w:t xml:space="preserve">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КЭиУМС)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lastRenderedPageBreak/>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В настоящее время в Муромцевском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lastRenderedPageBreak/>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lastRenderedPageBreak/>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w:t>
      </w:r>
      <w:r w:rsidRPr="003C39BC">
        <w:rPr>
          <w:rFonts w:ascii="Times New Roman" w:hAnsi="Times New Roman"/>
          <w:sz w:val="24"/>
          <w:szCs w:val="24"/>
        </w:rPr>
        <w:lastRenderedPageBreak/>
        <w:t>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7F2F"/>
    <w:rsid w:val="000448D7"/>
    <w:rsid w:val="00044CA8"/>
    <w:rsid w:val="00052C4D"/>
    <w:rsid w:val="00056C7E"/>
    <w:rsid w:val="0006088F"/>
    <w:rsid w:val="0006300E"/>
    <w:rsid w:val="000633F4"/>
    <w:rsid w:val="0007075A"/>
    <w:rsid w:val="00080E27"/>
    <w:rsid w:val="000817A8"/>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242C"/>
    <w:rsid w:val="002B4245"/>
    <w:rsid w:val="002C0026"/>
    <w:rsid w:val="002C28B0"/>
    <w:rsid w:val="002D025D"/>
    <w:rsid w:val="002D6B03"/>
    <w:rsid w:val="002E162B"/>
    <w:rsid w:val="002E4983"/>
    <w:rsid w:val="002E63B1"/>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74505"/>
    <w:rsid w:val="00475807"/>
    <w:rsid w:val="0048015A"/>
    <w:rsid w:val="004805D1"/>
    <w:rsid w:val="00493B1B"/>
    <w:rsid w:val="004A1385"/>
    <w:rsid w:val="004A5A4C"/>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C3CCF"/>
    <w:rsid w:val="008C4B3B"/>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6FF1"/>
    <w:rsid w:val="00997616"/>
    <w:rsid w:val="009A0991"/>
    <w:rsid w:val="009A742B"/>
    <w:rsid w:val="009B2B4D"/>
    <w:rsid w:val="009C569C"/>
    <w:rsid w:val="009D4031"/>
    <w:rsid w:val="009D75F2"/>
    <w:rsid w:val="009D7B39"/>
    <w:rsid w:val="009E1156"/>
    <w:rsid w:val="009E391D"/>
    <w:rsid w:val="009E6D1B"/>
    <w:rsid w:val="00A05976"/>
    <w:rsid w:val="00A06D8F"/>
    <w:rsid w:val="00A14088"/>
    <w:rsid w:val="00A20055"/>
    <w:rsid w:val="00A23BCF"/>
    <w:rsid w:val="00A53C43"/>
    <w:rsid w:val="00A610F6"/>
    <w:rsid w:val="00A61E40"/>
    <w:rsid w:val="00A63E83"/>
    <w:rsid w:val="00A708BB"/>
    <w:rsid w:val="00A74FEB"/>
    <w:rsid w:val="00A801AC"/>
    <w:rsid w:val="00A8158E"/>
    <w:rsid w:val="00A863C5"/>
    <w:rsid w:val="00A94E1E"/>
    <w:rsid w:val="00AA3AE0"/>
    <w:rsid w:val="00AA4652"/>
    <w:rsid w:val="00AA6612"/>
    <w:rsid w:val="00AB0356"/>
    <w:rsid w:val="00AB08C5"/>
    <w:rsid w:val="00AB282E"/>
    <w:rsid w:val="00AB4DEA"/>
    <w:rsid w:val="00AB527F"/>
    <w:rsid w:val="00AC2072"/>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DEC"/>
    <w:rsid w:val="00EB7A18"/>
    <w:rsid w:val="00EC0927"/>
    <w:rsid w:val="00EC41B2"/>
    <w:rsid w:val="00EC69DB"/>
    <w:rsid w:val="00ED13D0"/>
    <w:rsid w:val="00ED24A4"/>
    <w:rsid w:val="00ED3FB9"/>
    <w:rsid w:val="00ED6C0A"/>
    <w:rsid w:val="00EE1CE9"/>
    <w:rsid w:val="00EF24CA"/>
    <w:rsid w:val="00EF7193"/>
    <w:rsid w:val="00F028CF"/>
    <w:rsid w:val="00F02B3B"/>
    <w:rsid w:val="00F15C14"/>
    <w:rsid w:val="00F43360"/>
    <w:rsid w:val="00F57AC4"/>
    <w:rsid w:val="00F676C6"/>
    <w:rsid w:val="00F80516"/>
    <w:rsid w:val="00F81A68"/>
    <w:rsid w:val="00F928FB"/>
    <w:rsid w:val="00F97EEA"/>
    <w:rsid w:val="00FA38A9"/>
    <w:rsid w:val="00FA6B93"/>
    <w:rsid w:val="00FA785E"/>
    <w:rsid w:val="00FB3D84"/>
    <w:rsid w:val="00FB5817"/>
    <w:rsid w:val="00FC1538"/>
    <w:rsid w:val="00FC1D21"/>
    <w:rsid w:val="00FC3BED"/>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6BB-5924-4353-A829-EF2A47C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93</Pages>
  <Words>38167</Words>
  <Characters>217556</Characters>
  <Application>Microsoft Office Word</Application>
  <DocSecurity>0</DocSecurity>
  <Lines>1812</Lines>
  <Paragraphs>510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255213</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4</cp:revision>
  <cp:lastPrinted>2016-11-10T09:24:00Z</cp:lastPrinted>
  <dcterms:created xsi:type="dcterms:W3CDTF">2024-03-01T09:39:00Z</dcterms:created>
  <dcterms:modified xsi:type="dcterms:W3CDTF">2024-03-01T11:04:00Z</dcterms:modified>
</cp:coreProperties>
</file>